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附件3</w:t>
      </w:r>
    </w:p>
    <w:p>
      <w:pPr>
        <w:keepNext w:val="0"/>
        <w:keepLines w:val="0"/>
        <w:widowControl w:val="0"/>
        <w:suppressLineNumbers w:val="0"/>
        <w:spacing w:before="0" w:beforeAutospacing="0" w:after="0" w:afterAutospacing="0" w:line="560" w:lineRule="exact"/>
        <w:ind w:left="0" w:right="0"/>
        <w:jc w:val="both"/>
        <w:rPr>
          <w:rFonts w:hint="eastAsia" w:ascii="黑体" w:hAnsi="宋体" w:eastAsia="黑体" w:cs="黑体"/>
          <w:bCs/>
          <w:kern w:val="2"/>
          <w:sz w:val="32"/>
          <w:szCs w:val="32"/>
          <w:lang w:val="en-US"/>
        </w:rPr>
      </w:pP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2024年医疗卫生机构传染病防治</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随机监督抽查实施方案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一、监督检查对象</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抽查辖区20%二级以上医院、10%一级医院、3%基层医疗机构（社区卫生服务中心/站、诊所、乡镇卫生院、村卫生室等），25%采供血机构和疾病预防控制机构。其中对上一年度传染病防治分类监督综合评价为重点监督单位的100%检查。</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黑体" w:hAnsi="宋体" w:eastAsia="黑体" w:cs="黑体"/>
          <w:kern w:val="2"/>
          <w:sz w:val="32"/>
          <w:szCs w:val="32"/>
          <w:lang w:val="en-US"/>
        </w:rPr>
      </w:pPr>
      <w:r>
        <w:rPr>
          <w:rFonts w:hint="eastAsia" w:ascii="黑体" w:hAnsi="宋体" w:eastAsia="黑体" w:cs="黑体"/>
          <w:kern w:val="2"/>
          <w:sz w:val="32"/>
          <w:szCs w:val="32"/>
          <w:lang w:val="en-US" w:eastAsia="zh-CN" w:bidi="ar"/>
        </w:rPr>
        <w:t>二、监督检查内容</w:t>
      </w:r>
    </w:p>
    <w:p>
      <w:pPr>
        <w:keepNext w:val="0"/>
        <w:keepLines w:val="0"/>
        <w:widowControl w:val="0"/>
        <w:suppressLineNumbers w:val="0"/>
        <w:snapToGrid w:val="0"/>
        <w:spacing w:before="0" w:beforeAutospacing="0" w:after="0" w:afterAutospacing="0" w:line="560" w:lineRule="exact"/>
        <w:ind w:left="0" w:right="0"/>
        <w:jc w:val="both"/>
        <w:rPr>
          <w:rFonts w:hint="eastAsia" w:ascii="仿宋_GB2312" w:hAnsi="仿宋_GB2312" w:eastAsia="仿宋_GB2312" w:cs="仿宋_GB2312"/>
          <w:kern w:val="2"/>
          <w:sz w:val="32"/>
          <w:szCs w:val="32"/>
          <w:lang w:val="en-US"/>
        </w:rPr>
      </w:pPr>
      <w:r>
        <w:rPr>
          <w:rFonts w:hint="eastAsia" w:ascii="仿宋" w:hAnsi="仿宋" w:eastAsia="仿宋" w:cs="仿宋"/>
          <w:kern w:val="2"/>
          <w:sz w:val="32"/>
          <w:szCs w:val="32"/>
          <w:lang w:val="en-US" w:eastAsia="zh-CN" w:bidi="ar"/>
        </w:rPr>
        <w:t xml:space="preserve">    </w:t>
      </w:r>
      <w:r>
        <w:rPr>
          <w:rFonts w:hint="eastAsia" w:ascii="楷体_GB2312" w:hAnsi="楷体_GB2312" w:eastAsia="楷体_GB2312" w:cs="楷体_GB2312"/>
          <w:b/>
          <w:bCs/>
          <w:kern w:val="2"/>
          <w:sz w:val="32"/>
          <w:szCs w:val="32"/>
          <w:lang w:val="en-US" w:eastAsia="zh-CN" w:bidi="ar"/>
        </w:rPr>
        <w:t>（一）预防接种管理情况。</w:t>
      </w:r>
      <w:r>
        <w:rPr>
          <w:rFonts w:hint="eastAsia" w:ascii="仿宋_GB2312" w:hAnsi="仿宋_GB2312" w:eastAsia="仿宋_GB2312" w:cs="仿宋_GB2312"/>
          <w:kern w:val="2"/>
          <w:sz w:val="32"/>
          <w:szCs w:val="32"/>
          <w:lang w:val="en-US" w:eastAsia="zh-CN" w:bidi="ar"/>
        </w:rPr>
        <w:t>接种单位和人员资质情况；接种疫苗公示情况；接种前告知、询问受种者或监护人有关情况；执行“三查七对一验证”情况；疫苗的接收、购进、储存、配送、供应、接种和处置记录情况。犬伤门诊预防接种监督检查全覆盖。</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b/>
          <w:bCs/>
          <w:kern w:val="2"/>
          <w:sz w:val="32"/>
          <w:szCs w:val="32"/>
          <w:lang w:val="en-US" w:eastAsia="zh-CN" w:bidi="ar"/>
        </w:rPr>
        <w:t>（二）传染病疫情报告情况。</w:t>
      </w:r>
      <w:r>
        <w:rPr>
          <w:rFonts w:hint="eastAsia" w:ascii="仿宋_GB2312" w:hAnsi="仿宋_GB2312" w:eastAsia="仿宋_GB2312" w:cs="仿宋_GB2312"/>
          <w:kern w:val="2"/>
          <w:sz w:val="32"/>
          <w:szCs w:val="32"/>
          <w:lang w:val="en-US" w:eastAsia="zh-CN" w:bidi="ar"/>
        </w:rPr>
        <w:t>建立传染病疫情报告工作制度情况；开展疫情报告管理自查情况；传染病疫情登记、报告卡填写情况；是否存在瞒报、缓报、谎报传染病疫情情况。</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b/>
          <w:bCs/>
          <w:kern w:val="2"/>
          <w:sz w:val="32"/>
          <w:szCs w:val="32"/>
          <w:lang w:val="en-US" w:eastAsia="zh-CN" w:bidi="ar"/>
        </w:rPr>
        <w:t>（三）传染病疫情控制情况。</w:t>
      </w:r>
      <w:r>
        <w:rPr>
          <w:rFonts w:hint="eastAsia" w:ascii="仿宋_GB2312" w:hAnsi="仿宋_GB2312" w:eastAsia="仿宋_GB2312" w:cs="仿宋_GB2312"/>
          <w:kern w:val="2"/>
          <w:sz w:val="32"/>
          <w:szCs w:val="32"/>
          <w:lang w:val="en-US" w:eastAsia="zh-CN" w:bidi="ar"/>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仿宋_GB2312" w:hAnsi="仿宋_GB2312" w:eastAsia="仿宋_GB2312" w:cs="仿宋_GB2312"/>
          <w:kern w:val="2"/>
          <w:sz w:val="32"/>
          <w:szCs w:val="32"/>
          <w:u w:val="single"/>
          <w:lang w:val="en-US"/>
        </w:rPr>
      </w:pPr>
      <w:r>
        <w:rPr>
          <w:rFonts w:hint="eastAsia" w:ascii="楷体_GB2312" w:hAnsi="楷体_GB2312" w:eastAsia="楷体_GB2312" w:cs="楷体_GB2312"/>
          <w:b/>
          <w:bCs/>
          <w:kern w:val="2"/>
          <w:sz w:val="32"/>
          <w:szCs w:val="32"/>
          <w:lang w:val="en-US" w:eastAsia="zh-CN" w:bidi="ar"/>
        </w:rPr>
        <w:t>（四）消毒隔离措施落实情况。</w:t>
      </w:r>
      <w:r>
        <w:rPr>
          <w:rFonts w:hint="eastAsia" w:ascii="仿宋_GB2312" w:hAnsi="仿宋_GB2312" w:eastAsia="仿宋_GB2312" w:cs="仿宋_GB2312"/>
          <w:kern w:val="2"/>
          <w:sz w:val="32"/>
          <w:szCs w:val="32"/>
          <w:lang w:val="en-US" w:eastAsia="zh-CN" w:bidi="ar"/>
        </w:rPr>
        <w:t>建立消毒管理组织、制度情况；开展消毒与灭菌效果监测情况；消毒隔离知识培训情况；消毒产品进货检查验收情况；医疗器械一人一用一消毒或灭菌情况。二级以上医院以口腔科（诊疗中心）、血液透析和内镜室（诊疗中心）为检查重点，若无相关科室的，可根据情况自行选择重点科室。一级医院和基层医疗机构以医院口腔科或口腔诊所、美容医院、血液透析中心为检查重点，若无相关科室的，可根据情况自行选择重点科室。</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仿宋" w:hAnsi="仿宋" w:eastAsia="仿宋" w:cs="仿宋"/>
          <w:kern w:val="2"/>
          <w:sz w:val="32"/>
          <w:szCs w:val="32"/>
          <w:lang w:val="en-US"/>
        </w:rPr>
      </w:pPr>
      <w:r>
        <w:rPr>
          <w:rFonts w:hint="eastAsia" w:ascii="楷体_GB2312" w:hAnsi="楷体_GB2312" w:eastAsia="楷体_GB2312" w:cs="楷体_GB2312"/>
          <w:b/>
          <w:bCs/>
          <w:kern w:val="2"/>
          <w:sz w:val="32"/>
          <w:szCs w:val="32"/>
          <w:lang w:val="en-US" w:eastAsia="zh-CN" w:bidi="ar"/>
        </w:rPr>
        <w:t>（五）医疗废物处置。</w:t>
      </w:r>
      <w:r>
        <w:rPr>
          <w:rFonts w:hint="eastAsia" w:ascii="仿宋_GB2312" w:hAnsi="仿宋_GB2312" w:eastAsia="仿宋_GB2312" w:cs="仿宋_GB2312"/>
          <w:kern w:val="2"/>
          <w:sz w:val="32"/>
          <w:szCs w:val="32"/>
          <w:lang w:val="en-US" w:eastAsia="zh-CN" w:bidi="ar"/>
        </w:rPr>
        <w:t>医疗废物分类收集情况；使用专用包装物及容器情况；医疗废物暂时贮存设施建立情况；医疗废物交接、运送、暂存及处置情况。</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仿宋_GB2312" w:hAnsi="仿宋_GB2312" w:eastAsia="仿宋_GB2312" w:cs="仿宋_GB2312"/>
          <w:kern w:val="2"/>
          <w:sz w:val="32"/>
          <w:szCs w:val="32"/>
          <w:lang w:val="en-US"/>
        </w:rPr>
      </w:pPr>
      <w:r>
        <w:rPr>
          <w:rFonts w:hint="eastAsia" w:ascii="楷体_GB2312" w:hAnsi="楷体_GB2312" w:eastAsia="楷体_GB2312" w:cs="楷体_GB2312"/>
          <w:b/>
          <w:bCs/>
          <w:kern w:val="2"/>
          <w:sz w:val="32"/>
          <w:szCs w:val="32"/>
          <w:lang w:val="en-US" w:eastAsia="zh-CN" w:bidi="ar"/>
        </w:rPr>
        <w:t>（六）病原微生物实验室生物安全管理。</w:t>
      </w:r>
      <w:r>
        <w:rPr>
          <w:rFonts w:hint="eastAsia" w:ascii="仿宋_GB2312" w:hAnsi="仿宋_GB2312" w:eastAsia="仿宋_GB2312" w:cs="仿宋_GB2312"/>
          <w:kern w:val="2"/>
          <w:sz w:val="32"/>
          <w:szCs w:val="32"/>
          <w:lang w:val="en-US" w:eastAsia="zh-CN" w:bidi="ar"/>
        </w:rPr>
        <w:t>实验室取得批准或进行备案情况；从事实验活动的人员培训、考核情况；实验档案建立情况；实验结束将菌（毒）种或样本销毁或者送交保藏机构保藏情况。</w:t>
      </w:r>
    </w:p>
    <w:p>
      <w:pPr>
        <w:keepNext w:val="0"/>
        <w:keepLines w:val="0"/>
        <w:widowControl w:val="0"/>
        <w:suppressLineNumbers w:val="0"/>
        <w:snapToGrid w:val="0"/>
        <w:spacing w:before="0" w:beforeAutospacing="0" w:after="0" w:afterAutospacing="0" w:line="560" w:lineRule="exact"/>
        <w:ind w:left="0" w:right="0" w:firstLine="640"/>
        <w:jc w:val="both"/>
        <w:rPr>
          <w:rFonts w:hint="eastAsia" w:ascii="黑体" w:hAnsi="宋体" w:eastAsia="黑体" w:cs="黑体"/>
          <w:kern w:val="2"/>
          <w:sz w:val="32"/>
          <w:szCs w:val="24"/>
          <w:lang w:val="en-US"/>
        </w:rPr>
      </w:pPr>
      <w:r>
        <w:rPr>
          <w:rFonts w:hint="eastAsia" w:ascii="黑体" w:hAnsi="宋体" w:eastAsia="黑体" w:cs="黑体"/>
          <w:kern w:val="2"/>
          <w:sz w:val="32"/>
          <w:szCs w:val="24"/>
          <w:lang w:val="en-US" w:eastAsia="zh-CN" w:bidi="ar"/>
        </w:rPr>
        <w:t>三、工作要求</w:t>
      </w:r>
    </w:p>
    <w:p>
      <w:pPr>
        <w:keepNext w:val="0"/>
        <w:keepLines w:val="0"/>
        <w:widowControl/>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一）各地要高度重视医疗卫生机构传染病防治国家随机监督抽查工作，结合当地实际制定本辖区工作实施方案并组织实施。医疗卫生机构传染病防治国家随机监督抽查工作要与医疗卫生机构传染病防治分类监督综合评价工作相结合，抽到的单位采取分类监督综合评价方式进行检查。</w:t>
      </w:r>
      <w:r>
        <w:rPr>
          <w:rFonts w:hint="eastAsia" w:ascii="仿宋_GB2312" w:hAnsi="仿宋_GB2312" w:eastAsia="仿宋_GB2312" w:cs="仿宋_GB2312"/>
          <w:kern w:val="2"/>
          <w:sz w:val="32"/>
          <w:szCs w:val="32"/>
          <w:lang w:val="en-US" w:eastAsia="zh-CN" w:bidi="ar"/>
        </w:rPr>
        <w:t>如疾病预防控制机构与同级监督机构合并的</w:t>
      </w:r>
      <w:r>
        <w:rPr>
          <w:rFonts w:hint="eastAsia" w:ascii="仿宋_GB2312" w:hAnsi="仿宋_GB2312" w:eastAsia="仿宋_GB2312" w:cs="仿宋_GB2312"/>
          <w:kern w:val="2"/>
          <w:sz w:val="32"/>
          <w:szCs w:val="24"/>
          <w:lang w:val="en-US" w:eastAsia="zh-CN" w:bidi="ar"/>
        </w:rPr>
        <w:t>，对疾病预防控制机构的监督检查可由属地县级以上地方人民政府疾病预防控制部门及其委托的监督机构负责，或由该疾病预防控制机构的上级疾病预防控制机构（监督机构）负责。对抽查中发现存在违法违规行为的单位或个人，依法依规严肃查处。</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二）各地要切实加强上报数据信息的审核，保证数据信息项目齐全、质量可靠，请于2024年11月8日前完成医疗卫生机构传染病防治国家随机监督抽查工作任务、数据填报工作，并将工作总结报送市卫生健康执法支队。</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default"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联系人：黄健；电话：0564-3379649</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电子邮箱：303981596</w:t>
      </w:r>
      <w:r>
        <w:rPr>
          <w:rFonts w:hint="eastAsia" w:ascii="宋体" w:hAnsi="宋体" w:eastAsia="宋体" w:cs="宋体"/>
          <w:spacing w:val="3"/>
          <w:kern w:val="2"/>
          <w:sz w:val="32"/>
          <w:szCs w:val="32"/>
          <w:vertAlign w:val="baseline"/>
          <w:lang w:val="en-US" w:eastAsia="zh-CN" w:bidi="ar"/>
        </w:rPr>
        <w:t>@</w:t>
      </w:r>
      <w:r>
        <w:rPr>
          <w:rFonts w:hint="eastAsia" w:ascii="仿宋_GB2312" w:hAnsi="仿宋_GB2312" w:eastAsia="仿宋_GB2312" w:cs="仿宋_GB2312"/>
          <w:kern w:val="2"/>
          <w:sz w:val="32"/>
          <w:szCs w:val="24"/>
          <w:lang w:val="en-US" w:eastAsia="zh-CN" w:bidi="ar"/>
        </w:rPr>
        <w:t>qq.com</w:t>
      </w:r>
    </w:p>
    <w:p>
      <w:pPr>
        <w:keepNext w:val="0"/>
        <w:keepLines w:val="0"/>
        <w:widowControl w:val="0"/>
        <w:suppressLineNumbers w:val="0"/>
        <w:snapToGrid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附表：</w:t>
      </w:r>
      <w:r>
        <w:rPr>
          <w:rFonts w:hint="eastAsia" w:ascii="仿宋_GB2312" w:hAnsi="仿宋_GB2312" w:eastAsia="仿宋_GB2312" w:cs="仿宋_GB2312"/>
          <w:kern w:val="2"/>
          <w:sz w:val="32"/>
          <w:szCs w:val="32"/>
          <w:lang w:val="en-US" w:eastAsia="zh-CN" w:bidi="ar"/>
        </w:rPr>
        <w:t>1.2024</w:t>
      </w:r>
      <w:r>
        <w:rPr>
          <w:rFonts w:hint="eastAsia" w:ascii="仿宋_GB2312" w:hAnsi="仿宋_GB2312" w:eastAsia="仿宋_GB2312" w:cs="仿宋_GB2312"/>
          <w:kern w:val="2"/>
          <w:sz w:val="32"/>
          <w:szCs w:val="24"/>
          <w:lang w:val="en-US" w:eastAsia="zh-CN" w:bidi="ar"/>
        </w:rPr>
        <w:t>年医疗卫生机构传染病防治随机监督抽查</w:t>
      </w:r>
    </w:p>
    <w:p>
      <w:pPr>
        <w:keepNext w:val="0"/>
        <w:keepLines w:val="0"/>
        <w:widowControl w:val="0"/>
        <w:suppressLineNumbers w:val="0"/>
        <w:spacing w:before="0" w:beforeAutospacing="0" w:after="0" w:afterAutospacing="0" w:line="560" w:lineRule="exact"/>
        <w:ind w:left="0" w:right="0" w:firstLine="1920" w:firstLineChars="6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24"/>
          <w:lang w:val="en-US" w:eastAsia="zh-CN" w:bidi="ar"/>
        </w:rPr>
        <w:t>汇总表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24"/>
          <w:lang w:val="en-US"/>
        </w:rPr>
      </w:pPr>
      <w:r>
        <w:rPr>
          <w:rFonts w:hint="eastAsia" w:ascii="仿宋_GB2312" w:hAnsi="仿宋_GB2312" w:eastAsia="仿宋_GB2312" w:cs="仿宋_GB2312"/>
          <w:kern w:val="2"/>
          <w:sz w:val="32"/>
          <w:szCs w:val="32"/>
          <w:lang w:val="en-US" w:eastAsia="zh-CN" w:bidi="ar"/>
        </w:rPr>
        <w:t xml:space="preserve">      2.2024</w:t>
      </w:r>
      <w:r>
        <w:rPr>
          <w:rFonts w:hint="eastAsia" w:ascii="仿宋_GB2312" w:hAnsi="仿宋_GB2312" w:eastAsia="仿宋_GB2312" w:cs="仿宋_GB2312"/>
          <w:kern w:val="2"/>
          <w:sz w:val="32"/>
          <w:szCs w:val="24"/>
          <w:lang w:val="en-US" w:eastAsia="zh-CN" w:bidi="ar"/>
        </w:rPr>
        <w:t>年医疗卫生机构传染病防治随机监督抽查</w:t>
      </w:r>
    </w:p>
    <w:p>
      <w:pPr>
        <w:keepNext w:val="0"/>
        <w:keepLines w:val="0"/>
        <w:widowControl/>
        <w:suppressLineNumbers w:val="0"/>
        <w:spacing w:before="0" w:beforeAutospacing="0" w:after="0" w:afterAutospacing="0" w:line="560" w:lineRule="exact"/>
        <w:ind w:left="0" w:right="0" w:firstLine="1920" w:firstLineChars="600"/>
        <w:jc w:val="left"/>
        <w:rPr>
          <w:rFonts w:hint="eastAsia" w:ascii="仿宋_GB2312" w:hAnsi="仿宋_GB2312" w:eastAsia="仿宋_GB2312" w:cs="仿宋_GB2312"/>
          <w:b/>
          <w:bCs w:val="0"/>
          <w:sz w:val="44"/>
          <w:szCs w:val="44"/>
          <w:lang w:val="en-US"/>
        </w:rPr>
      </w:pPr>
      <w:r>
        <w:rPr>
          <w:rFonts w:hint="eastAsia" w:ascii="仿宋_GB2312" w:hAnsi="仿宋_GB2312" w:eastAsia="仿宋_GB2312" w:cs="仿宋_GB2312"/>
          <w:kern w:val="2"/>
          <w:sz w:val="32"/>
          <w:szCs w:val="24"/>
          <w:lang w:val="en-US" w:eastAsia="zh-CN" w:bidi="ar"/>
        </w:rPr>
        <w:t>案件查处汇总表</w:t>
      </w:r>
    </w:p>
    <w:p>
      <w:pPr>
        <w:rPr>
          <w:rFonts w:hint="eastAsia" w:ascii="仿宋_GB2312" w:hAnsi="仿宋_GB2312" w:eastAsia="仿宋_GB2312" w:cs="仿宋_GB2312"/>
          <w:b/>
          <w:bCs w:val="0"/>
          <w:sz w:val="44"/>
          <w:szCs w:val="44"/>
          <w:lang w:val="en-US" w:eastAsia="zh-CN" w:bidi="ar"/>
        </w:rPr>
        <w:sectPr>
          <w:pgSz w:w="11905" w:h="16838"/>
          <w:pgMar w:top="2098" w:right="1531" w:bottom="1984" w:left="1531" w:header="850" w:footer="1417" w:gutter="0"/>
          <w:pgNumType w:fmt="decimal"/>
          <w:cols w:space="720" w:num="1"/>
          <w:docGrid w:type="lines" w:linePitch="327" w:charSpace="0"/>
        </w:sectPr>
      </w:pPr>
    </w:p>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附表1</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2024年医疗卫生机构传染病防治随机监督抽查汇总表</w:t>
      </w:r>
    </w:p>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 w:hAnsi="仿宋" w:eastAsia="仿宋" w:cs="仿宋"/>
          <w:bCs/>
          <w:kern w:val="2"/>
          <w:sz w:val="21"/>
          <w:szCs w:val="21"/>
          <w:lang w:val="en-US" w:eastAsia="zh-CN" w:bidi="ar"/>
        </w:rPr>
        <w:t xml:space="preserve">  县（区）</w:t>
      </w:r>
      <w:r>
        <w:rPr>
          <w:rFonts w:hint="eastAsia" w:ascii="仿宋_GB2312" w:hAnsi="仿宋_GB2312" w:eastAsia="仿宋_GB2312" w:cs="仿宋_GB2312"/>
          <w:bCs/>
          <w:kern w:val="2"/>
          <w:sz w:val="21"/>
          <w:szCs w:val="21"/>
          <w:lang w:val="en-US" w:eastAsia="zh-CN" w:bidi="ar"/>
        </w:rPr>
        <w:t xml:space="preserve">            </w:t>
      </w:r>
    </w:p>
    <w:tbl>
      <w:tblPr>
        <w:tblStyle w:val="2"/>
        <w:tblW w:w="15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2"/>
        <w:gridCol w:w="1023"/>
        <w:gridCol w:w="545"/>
        <w:gridCol w:w="532"/>
        <w:gridCol w:w="464"/>
        <w:gridCol w:w="532"/>
        <w:gridCol w:w="409"/>
        <w:gridCol w:w="518"/>
        <w:gridCol w:w="409"/>
        <w:gridCol w:w="518"/>
        <w:gridCol w:w="532"/>
        <w:gridCol w:w="436"/>
        <w:gridCol w:w="505"/>
        <w:gridCol w:w="395"/>
        <w:gridCol w:w="546"/>
        <w:gridCol w:w="382"/>
        <w:gridCol w:w="518"/>
        <w:gridCol w:w="504"/>
        <w:gridCol w:w="450"/>
        <w:gridCol w:w="559"/>
        <w:gridCol w:w="382"/>
        <w:gridCol w:w="532"/>
        <w:gridCol w:w="396"/>
        <w:gridCol w:w="600"/>
        <w:gridCol w:w="531"/>
        <w:gridCol w:w="409"/>
        <w:gridCol w:w="491"/>
        <w:gridCol w:w="440"/>
        <w:gridCol w:w="542"/>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13875"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1725" w:type="dxa"/>
            <w:gridSpan w:val="2"/>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0"/>
                <w:sz w:val="18"/>
                <w:szCs w:val="18"/>
                <w:lang w:val="en-US" w:eastAsia="zh-CN" w:bidi="ar"/>
              </w:rPr>
              <w:t>监督类别</w:t>
            </w:r>
          </w:p>
        </w:tc>
        <w:tc>
          <w:tcPr>
            <w:tcW w:w="3409"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w:t>
            </w:r>
          </w:p>
        </w:tc>
        <w:tc>
          <w:tcPr>
            <w:tcW w:w="3314"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综合管理</w:t>
            </w:r>
          </w:p>
        </w:tc>
        <w:tc>
          <w:tcPr>
            <w:tcW w:w="3341"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预防接种管理</w:t>
            </w:r>
          </w:p>
        </w:tc>
        <w:tc>
          <w:tcPr>
            <w:tcW w:w="3811"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法定传染病报告管理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9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优秀</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w:t>
            </w:r>
          </w:p>
        </w:tc>
        <w:tc>
          <w:tcPr>
            <w:tcW w:w="94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合格</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6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优秀</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合格</w:t>
            </w:r>
          </w:p>
        </w:tc>
        <w:tc>
          <w:tcPr>
            <w:tcW w:w="9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5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优秀</w:t>
            </w:r>
          </w:p>
        </w:tc>
        <w:tc>
          <w:tcPr>
            <w:tcW w:w="94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合格</w:t>
            </w:r>
          </w:p>
        </w:tc>
        <w:tc>
          <w:tcPr>
            <w:tcW w:w="9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优秀</w:t>
            </w:r>
          </w:p>
        </w:tc>
        <w:tc>
          <w:tcPr>
            <w:tcW w:w="93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合格</w:t>
            </w:r>
          </w:p>
        </w:tc>
        <w:tc>
          <w:tcPr>
            <w:tcW w:w="13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6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3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0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9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8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50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5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8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9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53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4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4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7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6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3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9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8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0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8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9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4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总计</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702" w:type="dxa"/>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医疗机构</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小计</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702"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三级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702"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二级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702"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一级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702"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3"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基层</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（其中诊所）</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702" w:type="dxa"/>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疾控机构</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采供血机构</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附表1 续</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2024年医疗卫生机构传染病防治国家随机监督抽查汇总表</w:t>
      </w:r>
    </w:p>
    <w:tbl>
      <w:tblPr>
        <w:tblStyle w:val="2"/>
        <w:tblW w:w="15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3"/>
        <w:gridCol w:w="1046"/>
        <w:gridCol w:w="656"/>
        <w:gridCol w:w="736"/>
        <w:gridCol w:w="450"/>
        <w:gridCol w:w="511"/>
        <w:gridCol w:w="314"/>
        <w:gridCol w:w="609"/>
        <w:gridCol w:w="314"/>
        <w:gridCol w:w="609"/>
        <w:gridCol w:w="609"/>
        <w:gridCol w:w="314"/>
        <w:gridCol w:w="511"/>
        <w:gridCol w:w="314"/>
        <w:gridCol w:w="609"/>
        <w:gridCol w:w="314"/>
        <w:gridCol w:w="609"/>
        <w:gridCol w:w="609"/>
        <w:gridCol w:w="314"/>
        <w:gridCol w:w="511"/>
        <w:gridCol w:w="314"/>
        <w:gridCol w:w="609"/>
        <w:gridCol w:w="314"/>
        <w:gridCol w:w="609"/>
        <w:gridCol w:w="609"/>
        <w:gridCol w:w="314"/>
        <w:gridCol w:w="511"/>
        <w:gridCol w:w="314"/>
        <w:gridCol w:w="740"/>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8" w:hRule="atLeast"/>
          <w:jc w:val="center"/>
        </w:trPr>
        <w:tc>
          <w:tcPr>
            <w:tcW w:w="1489" w:type="dxa"/>
            <w:gridSpan w:val="2"/>
            <w:vMerge w:val="restart"/>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监督类别</w:t>
            </w:r>
          </w:p>
        </w:tc>
        <w:tc>
          <w:tcPr>
            <w:tcW w:w="13886"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监督评价结果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1489" w:type="dxa"/>
            <w:gridSpan w:val="2"/>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59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传染病疫情控制</w:t>
            </w:r>
          </w:p>
        </w:tc>
        <w:tc>
          <w:tcPr>
            <w:tcW w:w="328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消毒隔离制度执行情况</w:t>
            </w:r>
          </w:p>
        </w:tc>
        <w:tc>
          <w:tcPr>
            <w:tcW w:w="328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医疗废物处置</w:t>
            </w:r>
          </w:p>
        </w:tc>
        <w:tc>
          <w:tcPr>
            <w:tcW w:w="3736"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病原微生物实验室生物安全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9" w:hRule="atLeast"/>
          <w:jc w:val="center"/>
        </w:trPr>
        <w:tc>
          <w:tcPr>
            <w:tcW w:w="1489" w:type="dxa"/>
            <w:gridSpan w:val="2"/>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118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该项合格</w:t>
            </w:r>
          </w:p>
        </w:tc>
        <w:tc>
          <w:tcPr>
            <w:tcW w:w="137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重点监督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3" w:hRule="atLeast"/>
          <w:jc w:val="center"/>
        </w:trPr>
        <w:tc>
          <w:tcPr>
            <w:tcW w:w="1489" w:type="dxa"/>
            <w:gridSpan w:val="2"/>
            <w:vMerge w:val="continue"/>
            <w:tcBorders>
              <w:top w:val="single" w:color="000000" w:sz="4" w:space="0"/>
              <w:left w:val="single" w:color="000000" w:sz="4" w:space="0"/>
              <w:bottom w:val="nil"/>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单位数（家）</w:t>
            </w: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百分率(%)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总计</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 w:hRule="atLeast"/>
          <w:jc w:val="center"/>
        </w:trPr>
        <w:tc>
          <w:tcPr>
            <w:tcW w:w="443"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医疗机构</w:t>
            </w: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小计</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三级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二级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3"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一级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4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基层</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（其中诊所）</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 w:hRule="atLeast"/>
          <w:jc w:val="center"/>
        </w:trPr>
        <w:tc>
          <w:tcPr>
            <w:tcW w:w="443"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4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18"/>
                <w:szCs w:val="18"/>
                <w:lang w:val="en-US"/>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疾控机构</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r>
              <w:rPr>
                <w:rFonts w:hint="eastAsia" w:ascii="仿宋_GB2312" w:hAnsi="仿宋_GB2312" w:eastAsia="仿宋_GB2312" w:cs="仿宋_GB2312"/>
                <w:kern w:val="0"/>
                <w:sz w:val="18"/>
                <w:szCs w:val="18"/>
                <w:lang w:val="en-US" w:eastAsia="zh-CN" w:bidi="ar"/>
              </w:rPr>
              <w:t>采供血机构</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18"/>
                <w:szCs w:val="18"/>
                <w:lang w:val="en-US" w:bidi="ar"/>
              </w:rPr>
            </w:pPr>
          </w:p>
        </w:tc>
      </w:tr>
    </w:tbl>
    <w:p>
      <w:pPr>
        <w:keepNext w:val="0"/>
        <w:keepLines w:val="0"/>
        <w:widowControl w:val="0"/>
        <w:suppressLineNumbers w:val="0"/>
        <w:spacing w:before="0" w:beforeAutospacing="0" w:after="0" w:afterAutospacing="0"/>
        <w:ind w:left="0" w:right="0"/>
        <w:jc w:val="both"/>
        <w:rPr>
          <w:rFonts w:hint="eastAsia" w:ascii="仿宋" w:hAnsi="仿宋" w:eastAsia="仿宋" w:cs="仿宋"/>
          <w:bCs/>
          <w:kern w:val="2"/>
          <w:sz w:val="21"/>
          <w:szCs w:val="21"/>
          <w:lang w:val="en-US"/>
        </w:rPr>
      </w:pPr>
      <w:r>
        <w:rPr>
          <w:rFonts w:hint="eastAsia" w:ascii="仿宋" w:hAnsi="仿宋" w:eastAsia="仿宋" w:cs="仿宋"/>
          <w:bCs/>
          <w:kern w:val="2"/>
          <w:sz w:val="21"/>
          <w:szCs w:val="21"/>
          <w:lang w:val="en-US" w:eastAsia="zh-CN" w:bidi="ar"/>
        </w:rPr>
        <w:t>填表人：　      　　　　 联系电话：                   填表日期：              审核人：</w:t>
      </w:r>
    </w:p>
    <w:p>
      <w:pPr>
        <w:keepNext w:val="0"/>
        <w:keepLines w:val="0"/>
        <w:widowControl w:val="0"/>
        <w:suppressLineNumbers w:val="0"/>
        <w:spacing w:before="0" w:beforeAutospacing="0" w:after="0" w:afterAutospacing="0" w:line="500" w:lineRule="exact"/>
        <w:ind w:left="0" w:right="0"/>
        <w:jc w:val="left"/>
        <w:rPr>
          <w:rFonts w:hint="eastAsia" w:ascii="黑体" w:hAnsi="宋体" w:eastAsia="黑体" w:cs="黑体"/>
          <w:kern w:val="2"/>
          <w:sz w:val="32"/>
          <w:szCs w:val="32"/>
          <w:lang w:val="en-US"/>
        </w:rPr>
      </w:pPr>
      <w:r>
        <w:rPr>
          <w:rFonts w:hint="eastAsia" w:ascii="黑体" w:hAnsi="宋体" w:eastAsia="黑体" w:cs="Times New Roman"/>
          <w:kern w:val="2"/>
          <w:sz w:val="32"/>
          <w:szCs w:val="32"/>
          <w:lang w:val="en-US" w:eastAsia="zh-CN" w:bidi="ar"/>
        </w:rPr>
        <w:br w:type="page"/>
      </w:r>
      <w:r>
        <w:rPr>
          <w:rFonts w:hint="eastAsia" w:ascii="黑体" w:hAnsi="宋体" w:eastAsia="黑体" w:cs="黑体"/>
          <w:kern w:val="0"/>
          <w:sz w:val="32"/>
          <w:szCs w:val="32"/>
          <w:lang w:val="en-US" w:eastAsia="zh-CN" w:bidi="ar"/>
        </w:rPr>
        <w:t xml:space="preserve">附表2 </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2024年医疗卫生机构传染病防治国家随机监督抽查案件查处汇总表</w:t>
      </w:r>
    </w:p>
    <w:p>
      <w:pPr>
        <w:keepNext w:val="0"/>
        <w:keepLines w:val="0"/>
        <w:widowControl w:val="0"/>
        <w:suppressLineNumbers w:val="0"/>
        <w:spacing w:before="0" w:beforeAutospacing="0" w:after="0" w:afterAutospacing="0" w:line="500" w:lineRule="exact"/>
        <w:ind w:left="0" w:right="0"/>
        <w:jc w:val="left"/>
        <w:rPr>
          <w:rFonts w:hint="default" w:ascii="仿宋" w:hAnsi="仿宋" w:eastAsia="仿宋" w:cs="仿宋"/>
          <w:bCs/>
          <w:kern w:val="2"/>
          <w:sz w:val="21"/>
          <w:szCs w:val="21"/>
          <w:lang w:val="en-US"/>
        </w:rPr>
      </w:pPr>
      <w:r>
        <w:rPr>
          <w:rFonts w:hint="eastAsia" w:ascii="仿宋" w:hAnsi="仿宋" w:eastAsia="仿宋" w:cs="仿宋"/>
          <w:bCs/>
          <w:kern w:val="2"/>
          <w:sz w:val="21"/>
          <w:szCs w:val="21"/>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1"/>
          <w:szCs w:val="21"/>
          <w:u w:val="single"/>
          <w:lang w:val="en-US" w:eastAsia="zh-CN" w:bidi="ar"/>
        </w:rPr>
        <w:t xml:space="preserve">             </w:t>
      </w:r>
      <w:r>
        <w:rPr>
          <w:rFonts w:hint="eastAsia" w:ascii="仿宋" w:hAnsi="仿宋" w:eastAsia="仿宋" w:cs="仿宋"/>
          <w:bCs/>
          <w:kern w:val="2"/>
          <w:sz w:val="21"/>
          <w:szCs w:val="21"/>
          <w:lang w:val="en-US" w:eastAsia="zh-CN" w:bidi="ar"/>
        </w:rPr>
        <w:t xml:space="preserve">  县（区）</w:t>
      </w:r>
    </w:p>
    <w:tbl>
      <w:tblPr>
        <w:tblStyle w:val="2"/>
        <w:tblW w:w="14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6"/>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监督对象</w:t>
            </w:r>
          </w:p>
        </w:tc>
        <w:tc>
          <w:tcPr>
            <w:tcW w:w="13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辖区</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机构数</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检查</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机构数</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发现违法行为机构数</w:t>
            </w:r>
          </w:p>
        </w:tc>
        <w:tc>
          <w:tcPr>
            <w:tcW w:w="6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案件数</w:t>
            </w:r>
          </w:p>
        </w:tc>
        <w:tc>
          <w:tcPr>
            <w:tcW w:w="10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行政</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处分</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人员数</w:t>
            </w:r>
          </w:p>
        </w:tc>
        <w:tc>
          <w:tcPr>
            <w:tcW w:w="409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60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05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吊证</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（家）</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警告（家）</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罚款（家）</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罚款金额</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（万元）</w:t>
            </w:r>
          </w:p>
        </w:tc>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三级医院</w:t>
            </w:r>
          </w:p>
        </w:tc>
        <w:tc>
          <w:tcPr>
            <w:tcW w:w="13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二级医院</w:t>
            </w:r>
          </w:p>
        </w:tc>
        <w:tc>
          <w:tcPr>
            <w:tcW w:w="13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一级医院</w:t>
            </w:r>
          </w:p>
        </w:tc>
        <w:tc>
          <w:tcPr>
            <w:tcW w:w="13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基层医疗机构</w:t>
            </w:r>
          </w:p>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（其中诊所）</w:t>
            </w:r>
          </w:p>
        </w:tc>
        <w:tc>
          <w:tcPr>
            <w:tcW w:w="13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3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疾控机构</w:t>
            </w:r>
          </w:p>
        </w:tc>
        <w:tc>
          <w:tcPr>
            <w:tcW w:w="13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采供血机构</w:t>
            </w:r>
          </w:p>
        </w:tc>
        <w:tc>
          <w:tcPr>
            <w:tcW w:w="13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合计</w:t>
            </w:r>
          </w:p>
        </w:tc>
        <w:tc>
          <w:tcPr>
            <w:tcW w:w="131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60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5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102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20" w:lineRule="exact"/>
              <w:ind w:left="0" w:right="0"/>
              <w:jc w:val="both"/>
              <w:rPr>
                <w:rFonts w:hint="eastAsia" w:ascii="仿宋_GB2312" w:hAnsi="仿宋_GB2312" w:eastAsia="仿宋_GB2312" w:cs="仿宋_GB2312"/>
                <w:kern w:val="2"/>
                <w:sz w:val="21"/>
                <w:szCs w:val="21"/>
                <w:lang w:val="en-US"/>
              </w:rPr>
            </w:pPr>
          </w:p>
        </w:tc>
      </w:tr>
    </w:tbl>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Cs/>
          <w:kern w:val="2"/>
          <w:sz w:val="21"/>
          <w:szCs w:val="21"/>
          <w:lang w:val="en-US"/>
        </w:rPr>
      </w:pPr>
      <w:r>
        <w:rPr>
          <w:rFonts w:hint="eastAsia" w:ascii="仿宋_GB2312" w:hAnsi="仿宋_GB2312" w:eastAsia="仿宋_GB2312" w:cs="仿宋_GB2312"/>
          <w:bCs/>
          <w:kern w:val="2"/>
          <w:sz w:val="21"/>
          <w:szCs w:val="21"/>
          <w:lang w:val="en-US" w:eastAsia="zh-CN" w:bidi="ar"/>
        </w:rPr>
        <w:t xml:space="preserve"> 填表单位（盖章）：                     填表人：　      　　　　 联系电话：                   填表日期：  </w:t>
      </w:r>
    </w:p>
    <w:p>
      <w:pPr>
        <w:rPr>
          <w:rFonts w:hint="eastAsia" w:ascii="仿宋_GB2312" w:hAnsi="仿宋_GB2312" w:eastAsia="仿宋_GB2312" w:cs="仿宋_GB2312"/>
          <w:sz w:val="24"/>
          <w:szCs w:val="32"/>
          <w:lang w:val="en-US" w:eastAsia="zh-CN" w:bidi="ar"/>
        </w:rPr>
        <w:sectPr>
          <w:pgSz w:w="16838" w:h="11905" w:orient="landscape"/>
          <w:pgMar w:top="1531" w:right="2098" w:bottom="1531" w:left="1984" w:header="850" w:footer="1417" w:gutter="0"/>
          <w:pgNumType w:fmt="decimal"/>
          <w:cols w:space="720" w:num="1"/>
          <w:docGrid w:type="lines" w:linePitch="327"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c3YzBkOWQ3NzgwYjBlNWMwMzZhNjIzMmQ0YjIifQ=="/>
  </w:docVars>
  <w:rsids>
    <w:rsidRoot w:val="00000000"/>
    <w:rsid w:val="01386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冯豹雪</cp:lastModifiedBy>
  <dcterms:modified xsi:type="dcterms:W3CDTF">2024-04-28T02:11:18Z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EF803ECEA7D44309AB0033261C9016B4_12</vt:lpwstr>
  </property>
</Properties>
</file>