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2024年职业卫生和放射卫生</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随机监督抽查实施方案</w:t>
      </w:r>
    </w:p>
    <w:p>
      <w:pPr>
        <w:keepNext w:val="0"/>
        <w:keepLines w:val="0"/>
        <w:widowControl/>
        <w:suppressLineNumbers w:val="0"/>
        <w:spacing w:before="0" w:beforeAutospacing="0" w:after="0" w:afterAutospacing="0" w:line="560" w:lineRule="exact"/>
        <w:ind w:left="0" w:right="0" w:firstLine="602"/>
        <w:jc w:val="left"/>
        <w:outlineLvl w:val="0"/>
        <w:rPr>
          <w:rFonts w:hint="eastAsia" w:ascii="黑体" w:hAnsi="宋体" w:eastAsia="黑体" w:cs="黑体"/>
          <w:bCs/>
          <w:kern w:val="2"/>
          <w:sz w:val="32"/>
          <w:szCs w:val="32"/>
          <w:lang w:val="en-US"/>
        </w:rPr>
      </w:pPr>
    </w:p>
    <w:p>
      <w:pPr>
        <w:keepNext w:val="0"/>
        <w:keepLines w:val="0"/>
        <w:widowControl/>
        <w:suppressLineNumbers w:val="0"/>
        <w:spacing w:before="0" w:beforeAutospacing="0" w:after="0" w:afterAutospacing="0" w:line="560" w:lineRule="exact"/>
        <w:ind w:left="0" w:right="0" w:firstLine="602"/>
        <w:jc w:val="left"/>
        <w:outlineLvl w:val="0"/>
        <w:rPr>
          <w:rFonts w:hint="eastAsia" w:ascii="黑体" w:hAnsi="宋体" w:eastAsia="黑体" w:cs="黑体"/>
          <w:bCs/>
          <w:kern w:val="2"/>
          <w:sz w:val="32"/>
          <w:szCs w:val="32"/>
          <w:lang w:val="en-US"/>
        </w:rPr>
      </w:pPr>
      <w:r>
        <w:rPr>
          <w:rFonts w:hint="eastAsia" w:ascii="黑体" w:hAnsi="宋体" w:eastAsia="黑体" w:cs="黑体"/>
          <w:bCs/>
          <w:kern w:val="2"/>
          <w:sz w:val="32"/>
          <w:szCs w:val="32"/>
          <w:lang w:val="en-US" w:eastAsia="zh-CN" w:bidi="ar"/>
        </w:rPr>
        <w:t>一、监督检查内容</w:t>
      </w:r>
    </w:p>
    <w:p>
      <w:pPr>
        <w:keepNext w:val="0"/>
        <w:keepLines w:val="0"/>
        <w:widowControl/>
        <w:suppressLineNumbers w:val="0"/>
        <w:spacing w:before="0" w:beforeAutospacing="0" w:after="0" w:afterAutospacing="0" w:line="560" w:lineRule="exact"/>
        <w:ind w:left="0" w:right="0" w:firstLine="560"/>
        <w:jc w:val="both"/>
        <w:rPr>
          <w:rFonts w:hint="eastAsia" w:ascii="仿宋_GB2312" w:hAnsi="宋体" w:eastAsia="仿宋_GB2312" w:cs="宋体"/>
          <w:sz w:val="32"/>
          <w:szCs w:val="32"/>
          <w:lang w:val="en-US"/>
        </w:rPr>
      </w:pPr>
      <w:r>
        <w:rPr>
          <w:rFonts w:hint="eastAsia" w:ascii="楷体_GB2312" w:hAnsi="楷体_GB2312" w:eastAsia="楷体_GB2312" w:cs="楷体_GB2312"/>
          <w:b/>
          <w:bCs/>
          <w:kern w:val="0"/>
          <w:sz w:val="32"/>
          <w:szCs w:val="24"/>
          <w:lang w:val="en-US" w:eastAsia="zh-CN" w:bidi="ar"/>
        </w:rPr>
        <w:t>（一）用人单位职业卫生国家随机监督抽查。</w:t>
      </w:r>
      <w:r>
        <w:rPr>
          <w:rFonts w:hint="eastAsia" w:ascii="仿宋_GB2312" w:hAnsi="宋体" w:eastAsia="仿宋_GB2312" w:cs="宋体"/>
          <w:kern w:val="0"/>
          <w:sz w:val="32"/>
          <w:szCs w:val="32"/>
          <w:lang w:val="en-US" w:eastAsia="zh-CN" w:bidi="ar"/>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widowControl/>
        <w:suppressLineNumbers w:val="0"/>
        <w:spacing w:before="0" w:beforeAutospacing="0" w:after="0" w:afterAutospacing="0" w:line="560" w:lineRule="exact"/>
        <w:ind w:left="0" w:right="0" w:firstLine="560"/>
        <w:jc w:val="both"/>
        <w:rPr>
          <w:rFonts w:hint="eastAsia" w:ascii="仿宋_GB2312" w:hAnsi="宋体" w:eastAsia="仿宋_GB2312" w:cs="宋体"/>
          <w:sz w:val="32"/>
          <w:szCs w:val="32"/>
          <w:lang w:val="en-US"/>
        </w:rPr>
      </w:pPr>
      <w:r>
        <w:rPr>
          <w:rFonts w:hint="eastAsia" w:ascii="楷体_GB2312" w:hAnsi="楷体_GB2312" w:eastAsia="楷体_GB2312" w:cs="楷体_GB2312"/>
          <w:b/>
          <w:bCs/>
          <w:kern w:val="0"/>
          <w:sz w:val="32"/>
          <w:szCs w:val="24"/>
          <w:lang w:val="en-US" w:eastAsia="zh-CN" w:bidi="ar"/>
        </w:rPr>
        <w:t>（二）职业卫生和放射卫生技术服务机构国家随机监督抽查。</w:t>
      </w:r>
      <w:r>
        <w:rPr>
          <w:rFonts w:hint="eastAsia" w:ascii="仿宋_GB2312" w:hAnsi="宋体" w:eastAsia="仿宋_GB2312" w:cs="宋体"/>
          <w:kern w:val="0"/>
          <w:sz w:val="32"/>
          <w:szCs w:val="32"/>
          <w:lang w:val="en-US" w:eastAsia="zh-CN" w:bidi="ar"/>
        </w:rPr>
        <w:t>主要检查职业卫生和放射卫生技术服务机构依照法律、法规和标准规范开展职业卫生、放射卫生技术服务活动情况,包括技术服务机构是否持有效资质（批准）证书，是否在批准的资质范围内开展工作，出具报告是否符合相关要求，人员、仪器设备、场所是否满足工作要求，是否存在出具虚假证明文件情况等。</w:t>
      </w:r>
    </w:p>
    <w:p>
      <w:pPr>
        <w:keepNext w:val="0"/>
        <w:keepLines w:val="0"/>
        <w:widowControl/>
        <w:suppressLineNumbers w:val="0"/>
        <w:spacing w:before="0" w:beforeAutospacing="0" w:after="0" w:afterAutospacing="0" w:line="560" w:lineRule="exact"/>
        <w:ind w:left="0" w:right="0" w:firstLine="643" w:firstLineChars="200"/>
        <w:jc w:val="both"/>
        <w:rPr>
          <w:rFonts w:hint="eastAsia" w:ascii="仿宋_GB2312" w:hAnsi="Times New Roman" w:eastAsia="仿宋_GB2312" w:cs="仿宋_GB2312"/>
          <w:kern w:val="2"/>
          <w:sz w:val="32"/>
          <w:szCs w:val="22"/>
          <w:lang w:val="en-US"/>
        </w:rPr>
      </w:pPr>
      <w:r>
        <w:rPr>
          <w:rFonts w:hint="eastAsia" w:ascii="楷体_GB2312" w:hAnsi="楷体_GB2312" w:eastAsia="楷体_GB2312" w:cs="楷体_GB2312"/>
          <w:b/>
          <w:bCs/>
          <w:kern w:val="0"/>
          <w:sz w:val="32"/>
          <w:szCs w:val="24"/>
          <w:lang w:val="en-US" w:eastAsia="zh-CN" w:bidi="ar"/>
        </w:rPr>
        <w:t>（三）放射诊疗机构国家随机监督抽查。</w:t>
      </w:r>
      <w:r>
        <w:rPr>
          <w:rFonts w:hint="eastAsia" w:ascii="仿宋_GB2312" w:hAnsi="Times New Roman" w:eastAsia="仿宋_GB2312" w:cs="仿宋_GB2312"/>
          <w:kern w:val="2"/>
          <w:sz w:val="32"/>
          <w:szCs w:val="22"/>
          <w:lang w:val="en-US" w:eastAsia="zh-CN" w:bidi="ar"/>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22"/>
          <w:lang w:val="en-US"/>
        </w:rPr>
      </w:pPr>
      <w:r>
        <w:rPr>
          <w:rFonts w:hint="eastAsia" w:ascii="楷体_GB2312" w:hAnsi="楷体_GB2312" w:eastAsia="楷体_GB2312" w:cs="楷体_GB2312"/>
          <w:kern w:val="0"/>
          <w:sz w:val="32"/>
          <w:szCs w:val="22"/>
          <w:lang w:val="en-US" w:eastAsia="zh-CN" w:bidi="ar"/>
        </w:rPr>
        <w:t xml:space="preserve">    </w:t>
      </w:r>
      <w:r>
        <w:rPr>
          <w:rFonts w:hint="eastAsia" w:ascii="楷体_GB2312" w:hAnsi="楷体_GB2312" w:eastAsia="楷体_GB2312" w:cs="楷体_GB2312"/>
          <w:b/>
          <w:bCs/>
          <w:kern w:val="0"/>
          <w:sz w:val="32"/>
          <w:szCs w:val="24"/>
          <w:lang w:val="en-US" w:eastAsia="zh-CN" w:bidi="ar"/>
        </w:rPr>
        <w:t>（四）职业健康检查、职业病诊断机构国家随机监督抽查。</w:t>
      </w:r>
      <w:r>
        <w:rPr>
          <w:rFonts w:hint="eastAsia" w:ascii="仿宋_GB2312" w:hAnsi="宋体" w:eastAsia="仿宋_GB2312" w:cs="宋体"/>
          <w:kern w:val="0"/>
          <w:sz w:val="32"/>
          <w:szCs w:val="32"/>
          <w:lang w:val="en-US" w:eastAsia="zh-CN" w:bidi="ar"/>
        </w:rPr>
        <w:t>检查</w:t>
      </w:r>
      <w:r>
        <w:rPr>
          <w:rFonts w:hint="eastAsia" w:ascii="仿宋_GB2312" w:hAnsi="Times New Roman" w:eastAsia="仿宋_GB2312" w:cs="仿宋_GB2312"/>
          <w:kern w:val="2"/>
          <w:sz w:val="32"/>
          <w:szCs w:val="22"/>
          <w:lang w:val="en-US" w:eastAsia="zh-CN" w:bidi="ar"/>
        </w:rPr>
        <w:t>职业病诊断机构、职业健康检查机构是否按照备案范围开展工作；职业健康检查机构是否指定主检医师或者指定的主检医师是否取得职业病诊断资格；职业病诊断机构是否超出诊疗登记范围从事职业病诊断；出具的报告是否符合相关要求，仪器设备场所是否满足工作要求，质量控制、程序是否符合相关要求，是否按照规定参加质量控制评估，或者质量控制评估不合格且未按要求整改的；是否出具虚假证明文件，档案管理是否符合相关要求，管理制度是否符合相关要求，劳动者保护是否符合相关要求，职业健康检查结果、职业禁忌、疑似职业病、职业病的告知、通知、信息报告是否符合相关要求等</w:t>
      </w:r>
      <w:r>
        <w:rPr>
          <w:rFonts w:hint="eastAsia" w:ascii="仿宋_GB2312" w:hAnsi="仿宋" w:eastAsia="仿宋_GB2312" w:cs="仿宋_GB2312"/>
          <w:kern w:val="0"/>
          <w:sz w:val="32"/>
          <w:szCs w:val="22"/>
          <w:lang w:val="en-US" w:eastAsia="zh-CN" w:bidi="ar"/>
        </w:rPr>
        <w:t>。</w:t>
      </w:r>
    </w:p>
    <w:p>
      <w:pPr>
        <w:keepNext w:val="0"/>
        <w:keepLines w:val="0"/>
        <w:widowControl/>
        <w:numPr>
          <w:ilvl w:val="0"/>
          <w:numId w:val="1"/>
        </w:numPr>
        <w:suppressLineNumbers w:val="0"/>
        <w:spacing w:before="0" w:beforeAutospacing="0" w:after="0" w:afterAutospacing="0" w:line="560" w:lineRule="exact"/>
        <w:ind w:left="0" w:right="0" w:firstLine="560"/>
        <w:jc w:val="left"/>
        <w:outlineLvl w:val="0"/>
        <w:rPr>
          <w:rFonts w:hint="eastAsia" w:ascii="黑体" w:hAnsi="宋体" w:eastAsia="黑体" w:cs="黑体"/>
          <w:sz w:val="32"/>
          <w:szCs w:val="32"/>
          <w:lang w:val="en-US"/>
        </w:rPr>
      </w:pPr>
      <w:r>
        <w:rPr>
          <w:rFonts w:hint="eastAsia" w:ascii="黑体" w:hAnsi="宋体" w:eastAsia="黑体" w:cs="黑体"/>
          <w:kern w:val="0"/>
          <w:sz w:val="32"/>
          <w:szCs w:val="32"/>
          <w:lang w:val="en-US" w:eastAsia="zh-CN" w:bidi="ar"/>
        </w:rPr>
        <w:t>工作要求</w:t>
      </w:r>
    </w:p>
    <w:p>
      <w:pPr>
        <w:keepNext w:val="0"/>
        <w:keepLines w:val="0"/>
        <w:widowControl w:val="0"/>
        <w:suppressLineNumbers w:val="0"/>
        <w:spacing w:before="0" w:beforeAutospacing="0" w:after="0" w:afterAutospacing="0" w:line="560" w:lineRule="exact"/>
        <w:ind w:left="0" w:right="0" w:firstLine="640"/>
        <w:jc w:val="both"/>
        <w:rPr>
          <w:rFonts w:hint="eastAsia" w:ascii="仿宋" w:hAnsi="仿宋" w:eastAsia="仿宋" w:cs="仿宋"/>
          <w:kern w:val="2"/>
          <w:sz w:val="32"/>
          <w:szCs w:val="22"/>
          <w:lang w:val="en-US"/>
        </w:rPr>
      </w:pPr>
      <w:r>
        <w:rPr>
          <w:rFonts w:hint="eastAsia" w:ascii="仿宋_GB2312" w:hAnsi="宋体" w:eastAsia="仿宋_GB2312" w:cs="宋体"/>
          <w:kern w:val="0"/>
          <w:sz w:val="32"/>
          <w:szCs w:val="32"/>
          <w:lang w:val="en-US" w:eastAsia="zh-CN" w:bidi="ar"/>
        </w:rPr>
        <w:t>（一）各地根据本市职业病防治重点行业、重点地区、重点职业病实际情况确定用人单位职业卫生随机抽查对象。参加职业卫生分类监督</w:t>
      </w:r>
      <w:r>
        <w:rPr>
          <w:rFonts w:hint="eastAsia" w:ascii="仿宋_GB2312" w:hAnsi="Times New Roman" w:eastAsia="仿宋_GB2312" w:cs="仿宋_GB2312"/>
          <w:kern w:val="2"/>
          <w:sz w:val="32"/>
          <w:szCs w:val="22"/>
          <w:lang w:val="en-US" w:eastAsia="zh-CN" w:bidi="ar"/>
        </w:rPr>
        <w:t>执法试点地区结合本地实施方案进行抽查。随机抽查底数依据2019年以来监督检查数据和职业病危害项目申报系统库数据，各地市监督抽查的用人单位数量原则上应不低于职业病危害项目申报系统库数据的30%。辖区内注册的职业卫生、放射卫生技术服务机构随机抽查比例为60%，</w:t>
      </w:r>
      <w:r>
        <w:rPr>
          <w:rFonts w:hint="eastAsia" w:ascii="仿宋_GB2312" w:hAnsi="宋体" w:eastAsia="仿宋_GB2312" w:cs="宋体"/>
          <w:kern w:val="0"/>
          <w:sz w:val="32"/>
          <w:szCs w:val="32"/>
          <w:lang w:val="en-US" w:eastAsia="zh-CN" w:bidi="ar"/>
        </w:rPr>
        <w:t>并避免与职业卫生、放射卫生技术服务机构质量检测抽取机构重复。省市县三级应统筹安排好监督检查工作，避免对同一单位因同一事项重复检查。在对用人单位监督检查过程中，对有关职业卫生、放射卫生技术服务机构提供的技术服务进行延伸检查。</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各地请于2024年11月15日前完成国家随机监督抽查工作任务和信息报送工作，所有数据以信息报告系统填报数据为准，并于2024年4月20前、6月15日前、11月15日前分别将辖区年度职业卫生放射卫生国家随机监督抽查任务清单（附件8）、国家随机监督抽查工作阶段性总结、全年总结报送省疾控局（含电子版）。</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b/>
          <w:bCs w:val="0"/>
          <w:sz w:val="32"/>
          <w:szCs w:val="32"/>
          <w:lang w:val="en-US"/>
        </w:rPr>
      </w:pPr>
      <w:r>
        <w:rPr>
          <w:rFonts w:hint="eastAsia" w:ascii="仿宋_GB2312" w:hAnsi="仿宋_GB2312" w:eastAsia="仿宋_GB2312" w:cs="仿宋_GB2312"/>
          <w:kern w:val="0"/>
          <w:sz w:val="32"/>
          <w:szCs w:val="32"/>
          <w:lang w:val="en-US" w:eastAsia="zh-CN" w:bidi="ar"/>
        </w:rPr>
        <w:t>各地要切实加强对上报数据信息的审核，按照抽查工作计划表及监督信息报告卡要求填报监督检查和案件查处数据信息。按照有关规定进一步加强案件信息公开、向被监督单位开具监督检查执法文书等工作。</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8" w:firstLineChars="200"/>
        <w:jc w:val="both"/>
        <w:textAlignment w:val="baseline"/>
        <w:outlineLvl w:val="0"/>
        <w:rPr>
          <w:rFonts w:hint="eastAsia" w:ascii="仿宋_GB2312" w:hAnsi="仿宋_GB2312" w:eastAsia="仿宋_GB2312" w:cs="仿宋_GB2312"/>
          <w:spacing w:val="3"/>
          <w:kern w:val="2"/>
          <w:sz w:val="32"/>
          <w:szCs w:val="32"/>
          <w:vertAlign w:val="baseline"/>
          <w:lang w:val="en-US"/>
        </w:rPr>
      </w:pPr>
      <w:r>
        <w:rPr>
          <w:rFonts w:hint="eastAsia" w:ascii="仿宋_GB2312" w:hAnsi="仿宋_GB2312" w:eastAsia="仿宋_GB2312" w:cs="仿宋_GB2312"/>
          <w:spacing w:val="2"/>
          <w:kern w:val="2"/>
          <w:sz w:val="32"/>
          <w:szCs w:val="32"/>
          <w:vertAlign w:val="baseline"/>
          <w:lang w:val="en-US" w:eastAsia="zh-CN" w:bidi="ar"/>
        </w:rPr>
        <w:t>联系人：潘娟，</w:t>
      </w:r>
      <w:r>
        <w:rPr>
          <w:rFonts w:hint="eastAsia" w:ascii="仿宋_GB2312" w:hAnsi="仿宋_GB2312" w:eastAsia="仿宋_GB2312" w:cs="仿宋_GB2312"/>
          <w:spacing w:val="6"/>
          <w:kern w:val="2"/>
          <w:sz w:val="32"/>
          <w:szCs w:val="32"/>
          <w:vertAlign w:val="baseline"/>
          <w:lang w:val="en-US" w:eastAsia="zh-CN" w:bidi="ar"/>
        </w:rPr>
        <w:t>电话</w:t>
      </w:r>
      <w:r>
        <w:rPr>
          <w:rFonts w:hint="eastAsia" w:ascii="仿宋_GB2312" w:hAnsi="仿宋_GB2312" w:eastAsia="仿宋_GB2312" w:cs="仿宋_GB2312"/>
          <w:spacing w:val="5"/>
          <w:kern w:val="2"/>
          <w:sz w:val="32"/>
          <w:szCs w:val="32"/>
          <w:vertAlign w:val="baseline"/>
          <w:lang w:val="en-US" w:eastAsia="zh-CN" w:bidi="ar"/>
        </w:rPr>
        <w:t>：</w:t>
      </w:r>
      <w:r>
        <w:rPr>
          <w:rFonts w:hint="eastAsia" w:ascii="仿宋_GB2312" w:hAnsi="仿宋_GB2312" w:eastAsia="仿宋_GB2312" w:cs="仿宋_GB2312"/>
          <w:spacing w:val="3"/>
          <w:kern w:val="2"/>
          <w:sz w:val="32"/>
          <w:szCs w:val="32"/>
          <w:vertAlign w:val="baseline"/>
          <w:lang w:val="en-US" w:eastAsia="zh-CN" w:bidi="ar"/>
        </w:rPr>
        <w:t xml:space="preserve">0551-63628175 </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52" w:firstLineChars="200"/>
        <w:jc w:val="both"/>
        <w:textAlignment w:val="baseline"/>
        <w:outlineLvl w:val="0"/>
        <w:rPr>
          <w:rFonts w:hint="eastAsia" w:ascii="仿宋_GB2312" w:hAnsi="仿宋_GB2312" w:eastAsia="仿宋_GB2312" w:cs="仿宋_GB2312"/>
          <w:spacing w:val="3"/>
          <w:kern w:val="2"/>
          <w:sz w:val="32"/>
          <w:szCs w:val="32"/>
          <w:vertAlign w:val="baseline"/>
          <w:lang w:val="en-US"/>
        </w:rPr>
      </w:pPr>
      <w:r>
        <w:rPr>
          <w:rFonts w:hint="eastAsia" w:ascii="仿宋_GB2312" w:hAnsi="仿宋_GB2312" w:eastAsia="仿宋_GB2312" w:cs="仿宋_GB2312"/>
          <w:spacing w:val="3"/>
          <w:kern w:val="2"/>
          <w:sz w:val="32"/>
          <w:szCs w:val="32"/>
          <w:vertAlign w:val="baseline"/>
          <w:lang w:val="en-US" w:eastAsia="zh-CN" w:bidi="ar"/>
        </w:rPr>
        <w:t>邮箱：ahzywsjd@126.com</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附表：1.2024年用人单位职业卫生随机监督抽查计划表</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2.2024年用人单位职业卫生随机监督抽查汇总表        </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3.2</w:t>
      </w:r>
      <w:r>
        <w:rPr>
          <w:rFonts w:hint="eastAsia" w:ascii="仿宋_GB2312" w:hAnsi="仿宋_GB2312" w:eastAsia="仿宋_GB2312" w:cs="仿宋_GB2312"/>
          <w:spacing w:val="-6"/>
          <w:kern w:val="0"/>
          <w:sz w:val="32"/>
          <w:szCs w:val="32"/>
          <w:lang w:val="en-US" w:eastAsia="zh-CN" w:bidi="ar"/>
        </w:rPr>
        <w:t>024年职业卫生和放射卫生技术服务机构随机监督</w:t>
      </w:r>
    </w:p>
    <w:p>
      <w:pPr>
        <w:keepNext w:val="0"/>
        <w:keepLines w:val="0"/>
        <w:widowControl/>
        <w:suppressLineNumbers w:val="0"/>
        <w:spacing w:before="0" w:beforeAutospacing="0" w:after="0" w:afterAutospacing="0" w:line="560" w:lineRule="exact"/>
        <w:ind w:left="0" w:right="0" w:firstLine="1920" w:firstLineChars="6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抽查计划表</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4.2</w:t>
      </w:r>
      <w:r>
        <w:rPr>
          <w:rFonts w:hint="eastAsia" w:ascii="仿宋_GB2312" w:hAnsi="仿宋_GB2312" w:eastAsia="仿宋_GB2312" w:cs="仿宋_GB2312"/>
          <w:spacing w:val="-6"/>
          <w:kern w:val="0"/>
          <w:sz w:val="32"/>
          <w:szCs w:val="32"/>
          <w:lang w:val="en-US" w:eastAsia="zh-CN" w:bidi="ar"/>
        </w:rPr>
        <w:t>024年职业卫生和放射卫生技术服务机构随机监督</w:t>
      </w:r>
    </w:p>
    <w:p>
      <w:pPr>
        <w:keepNext w:val="0"/>
        <w:keepLines w:val="0"/>
        <w:widowControl/>
        <w:suppressLineNumbers w:val="0"/>
        <w:spacing w:before="0" w:beforeAutospacing="0" w:after="0" w:afterAutospacing="0" w:line="560" w:lineRule="exact"/>
        <w:ind w:left="0" w:right="0" w:firstLine="1961" w:firstLineChars="613"/>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抽查汇总表</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5.2</w:t>
      </w:r>
      <w:r>
        <w:rPr>
          <w:rFonts w:hint="eastAsia" w:ascii="仿宋_GB2312" w:hAnsi="仿宋_GB2312" w:eastAsia="仿宋_GB2312" w:cs="仿宋_GB2312"/>
          <w:spacing w:val="-6"/>
          <w:kern w:val="0"/>
          <w:sz w:val="32"/>
          <w:szCs w:val="32"/>
          <w:lang w:val="en-US" w:eastAsia="zh-CN" w:bidi="ar"/>
        </w:rPr>
        <w:t>024年放射诊疗、职业健康检查、职业病诊断机构</w:t>
      </w:r>
    </w:p>
    <w:p>
      <w:pPr>
        <w:keepNext w:val="0"/>
        <w:keepLines w:val="0"/>
        <w:widowControl/>
        <w:suppressLineNumbers w:val="0"/>
        <w:spacing w:before="0" w:beforeAutospacing="0" w:after="0" w:afterAutospacing="0" w:line="560" w:lineRule="exact"/>
        <w:ind w:left="0" w:right="0" w:firstLine="1961" w:firstLineChars="613"/>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随机监督抽查工作计划表</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6.2024年放射诊疗机构随机监督抽查汇总表</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7.2024年职业健康检查机构、职业病诊断机构随机</w:t>
      </w:r>
    </w:p>
    <w:p>
      <w:pPr>
        <w:keepNext w:val="0"/>
        <w:keepLines w:val="0"/>
        <w:widowControl/>
        <w:suppressLineNumbers w:val="0"/>
        <w:spacing w:before="0" w:beforeAutospacing="0" w:after="0" w:afterAutospacing="0" w:line="560" w:lineRule="exact"/>
        <w:ind w:left="0" w:right="0" w:firstLine="1920" w:firstLineChars="6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监督抽查汇总表</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8.2024年职业卫生放射卫生随机监督抽查任务清单</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w w:val="98"/>
          <w:sz w:val="32"/>
          <w:szCs w:val="32"/>
          <w:lang w:val="en-US" w:bidi="ar"/>
        </w:rPr>
      </w:pPr>
    </w:p>
    <w:p>
      <w:pPr>
        <w:keepNext w:val="0"/>
        <w:keepLines w:val="0"/>
        <w:widowControl w:val="0"/>
        <w:suppressLineNumbers w:val="0"/>
        <w:spacing w:before="240" w:beforeAutospacing="0" w:after="60" w:afterAutospacing="0"/>
        <w:ind w:left="0" w:right="0"/>
        <w:jc w:val="center"/>
        <w:outlineLvl w:val="0"/>
        <w:rPr>
          <w:rFonts w:hint="eastAsia" w:ascii="仿宋_GB2312" w:hAnsi="仿宋_GB2312" w:eastAsia="仿宋_GB2312" w:cs="仿宋_GB2312"/>
          <w:b/>
          <w:bCs/>
          <w:w w:val="98"/>
          <w:sz w:val="32"/>
          <w:szCs w:val="32"/>
          <w:lang w:val="en-US" w:bidi="ar"/>
        </w:rPr>
      </w:pPr>
    </w:p>
    <w:p>
      <w:pPr>
        <w:rPr>
          <w:rFonts w:hint="eastAsia" w:ascii="仿宋_GB2312" w:hAnsi="仿宋_GB2312" w:eastAsia="仿宋_GB2312" w:cs="仿宋_GB2312"/>
          <w:w w:val="98"/>
          <w:sz w:val="32"/>
          <w:szCs w:val="32"/>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w w:val="98"/>
          <w:sz w:val="32"/>
          <w:szCs w:val="32"/>
          <w:lang w:val="en-US" w:bidi="ar"/>
        </w:rPr>
      </w:pPr>
      <w:r>
        <w:rPr>
          <w:rFonts w:hint="eastAsia" w:ascii="黑体" w:hAnsi="宋体" w:eastAsia="黑体" w:cs="黑体"/>
          <w:kern w:val="0"/>
          <w:sz w:val="32"/>
          <w:szCs w:val="32"/>
          <w:lang w:val="en-US" w:eastAsia="zh-CN" w:bidi="ar"/>
        </w:rPr>
        <w:t>附表</w:t>
      </w:r>
      <w:r>
        <w:rPr>
          <w:rFonts w:hint="eastAsia" w:ascii="黑体" w:hAnsi="宋体" w:eastAsia="黑体" w:cs="黑体"/>
          <w:w w:val="98"/>
          <w:kern w:val="0"/>
          <w:sz w:val="32"/>
          <w:szCs w:val="32"/>
          <w:lang w:val="en-US" w:eastAsia="zh-CN" w:bidi="ar"/>
        </w:rPr>
        <w:t>1</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2024年用人单位职业卫生随机监督抽查计划表</w:t>
      </w:r>
    </w:p>
    <w:tbl>
      <w:tblPr>
        <w:tblStyle w:val="2"/>
        <w:tblW w:w="14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抽查任务</w:t>
            </w:r>
          </w:p>
        </w:tc>
        <w:tc>
          <w:tcPr>
            <w:tcW w:w="10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
                <w:bCs/>
                <w:kern w:val="2"/>
                <w:sz w:val="21"/>
                <w:szCs w:val="21"/>
                <w:lang w:val="en-US"/>
              </w:rPr>
            </w:pPr>
            <w:r>
              <w:rPr>
                <w:rFonts w:hint="eastAsia" w:ascii="仿宋_GB2312" w:hAnsi="仿宋_GB2312" w:eastAsia="仿宋_GB2312" w:cs="仿宋_GB2312"/>
                <w:bCs/>
                <w:kern w:val="2"/>
                <w:sz w:val="21"/>
                <w:szCs w:val="21"/>
                <w:lang w:val="en-US" w:eastAsia="zh-CN" w:bidi="ar"/>
              </w:rPr>
              <w:t>用人单位</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
                <w:bCs/>
                <w:kern w:val="2"/>
                <w:sz w:val="21"/>
                <w:szCs w:val="21"/>
                <w:lang w:val="en-US"/>
              </w:rPr>
            </w:pPr>
            <w:r>
              <w:rPr>
                <w:rFonts w:hint="eastAsia" w:ascii="仿宋_GB2312" w:hAnsi="仿宋_GB2312" w:eastAsia="仿宋_GB2312" w:cs="仿宋_GB2312"/>
                <w:bCs/>
                <w:kern w:val="2"/>
                <w:sz w:val="21"/>
                <w:szCs w:val="21"/>
                <w:lang w:val="en-US" w:eastAsia="zh-CN" w:bidi="ar"/>
              </w:rPr>
              <w:t>抽查用人单位数量每省（区、市）不得低于3400家。</w:t>
            </w:r>
          </w:p>
        </w:tc>
        <w:tc>
          <w:tcPr>
            <w:tcW w:w="19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1.职业病防治管理组织和措施</w:t>
            </w:r>
          </w:p>
        </w:tc>
        <w:tc>
          <w:tcPr>
            <w:tcW w:w="8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1.是否按规定设置或者指定职业卫生管理机构或者组织，配备专职或者兼职的职业卫生管理人员；</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
                <w:bCs/>
                <w:kern w:val="2"/>
                <w:sz w:val="21"/>
                <w:szCs w:val="21"/>
                <w:lang w:val="en-US"/>
              </w:rPr>
            </w:pPr>
            <w:r>
              <w:rPr>
                <w:rFonts w:hint="eastAsia" w:ascii="仿宋_GB2312" w:hAnsi="仿宋_GB2312" w:eastAsia="仿宋_GB2312" w:cs="仿宋_GB2312"/>
                <w:bCs/>
                <w:kern w:val="2"/>
                <w:sz w:val="21"/>
                <w:szCs w:val="21"/>
                <w:lang w:val="en-US" w:eastAsia="zh-CN" w:bidi="ar"/>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2.职业卫生培训</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3.建设项目职业病防护设施“三同时”</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＊4.职业病危害项目申报</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5.工作场所职业卫生管理</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1.是否按规定开展工作场所职业病危害因素监测、检测、评价，是否进行检测结果的报告和公布；</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6.职业病危害警示和告知</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7.劳动者职业健康监护</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8.职业病病人和疑似职业病病人处置</w:t>
            </w:r>
          </w:p>
        </w:tc>
        <w:tc>
          <w:tcPr>
            <w:tcW w:w="89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1.是否按规定处置职业病人、疑似职业病人；</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2.是否为劳动者进行职业病诊断提供健康损害与职业史、职业病危害接触关系等相关资料。</w:t>
            </w:r>
          </w:p>
        </w:tc>
      </w:tr>
    </w:tbl>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b/>
          <w:bCs w:val="0"/>
          <w:kern w:val="2"/>
          <w:lang w:val="en-US"/>
        </w:rPr>
      </w:pPr>
      <w:r>
        <w:rPr>
          <w:rFonts w:hint="eastAsia" w:ascii="仿宋_GB2312" w:hAnsi="宋体" w:eastAsia="仿宋_GB2312" w:cs="仿宋_GB2312"/>
          <w:b/>
          <w:bCs w:val="0"/>
          <w:kern w:val="2"/>
          <w:sz w:val="24"/>
          <w:szCs w:val="24"/>
          <w:lang w:val="en-US" w:eastAsia="zh-CN" w:bidi="ar"/>
        </w:rPr>
        <w:t>注：重点检查内容中“4.职业病危害项目申报”是必查项。</w:t>
      </w:r>
    </w:p>
    <w:p>
      <w:pPr>
        <w:keepNext w:val="0"/>
        <w:keepLines w:val="0"/>
        <w:widowControl w:val="0"/>
        <w:suppressLineNumbers w:val="0"/>
        <w:spacing w:before="0" w:beforeAutospacing="0" w:after="0" w:afterAutospacing="0"/>
        <w:ind w:left="0" w:right="0"/>
        <w:jc w:val="left"/>
        <w:outlineLvl w:val="0"/>
        <w:rPr>
          <w:rFonts w:hint="eastAsia" w:ascii="黑体" w:hAnsi="宋体" w:eastAsia="黑体" w:cs="黑体"/>
          <w:w w:val="98"/>
          <w:sz w:val="32"/>
          <w:szCs w:val="32"/>
          <w:lang w:val="en-US" w:bidi="ar"/>
        </w:rPr>
      </w:pPr>
      <w:r>
        <w:rPr>
          <w:rFonts w:hint="default" w:ascii="Times New Roman" w:hAnsi="Times New Roman" w:eastAsia="仿宋_GB2312" w:cs="Times New Roman"/>
          <w:kern w:val="2"/>
          <w:sz w:val="21"/>
          <w:szCs w:val="24"/>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2024年用人单位职业卫生随机监督抽查汇总表</w:t>
      </w:r>
    </w:p>
    <w:tbl>
      <w:tblPr>
        <w:tblStyle w:val="2"/>
        <w:tblW w:w="13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3"/>
        <w:gridCol w:w="595"/>
        <w:gridCol w:w="644"/>
        <w:gridCol w:w="466"/>
        <w:gridCol w:w="670"/>
        <w:gridCol w:w="723"/>
        <w:gridCol w:w="724"/>
        <w:gridCol w:w="722"/>
        <w:gridCol w:w="722"/>
        <w:gridCol w:w="722"/>
        <w:gridCol w:w="727"/>
        <w:gridCol w:w="722"/>
        <w:gridCol w:w="888"/>
        <w:gridCol w:w="987"/>
        <w:gridCol w:w="1021"/>
        <w:gridCol w:w="620"/>
        <w:gridCol w:w="620"/>
        <w:gridCol w:w="620"/>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监督检查对象</w:t>
            </w:r>
          </w:p>
        </w:tc>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辖区单位数</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抽查单位数</w:t>
            </w:r>
          </w:p>
        </w:tc>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不合格单位数</w:t>
            </w:r>
          </w:p>
        </w:tc>
        <w:tc>
          <w:tcPr>
            <w:tcW w:w="863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不合格情况</w:t>
            </w:r>
          </w:p>
        </w:tc>
        <w:tc>
          <w:tcPr>
            <w:tcW w:w="247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职业病防治管理组织和措施</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职业卫生培训</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建设项目“三同时”</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职业病危害项目申报</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工作场所职业卫生管理</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职业病危害警示和告知</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劳动者职业健康监护</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职业病病人和疑似职业病病人处置</w:t>
            </w:r>
          </w:p>
        </w:tc>
        <w:tc>
          <w:tcPr>
            <w:tcW w:w="247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职业卫生培训不合格单位数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职业病危害警示和告知不合格单位数</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未为劳动者进行职业病诊断提供健康损害与职业史、职业病危害接触关系等相关资料单位数</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案件查处数</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警告单位数</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罚款（万元）</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责令停止作业单位数和提请关闭单位数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用人</w:t>
            </w:r>
          </w:p>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单位</w:t>
            </w:r>
          </w:p>
        </w:tc>
        <w:tc>
          <w:tcPr>
            <w:tcW w:w="5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4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附表3</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2024年职业卫生和放射卫生技术服务机构随机监督抽查计划表</w:t>
      </w:r>
    </w:p>
    <w:tbl>
      <w:tblPr>
        <w:tblStyle w:val="2"/>
        <w:tblW w:w="13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89"/>
        <w:gridCol w:w="2089"/>
        <w:gridCol w:w="1419"/>
        <w:gridCol w:w="9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tblHeader/>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抽查任务</w:t>
            </w:r>
          </w:p>
        </w:tc>
        <w:tc>
          <w:tcPr>
            <w:tcW w:w="10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3" w:hRule="atLeast"/>
          <w:tblHeader/>
          <w:jc w:val="center"/>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职业卫生和放射卫生技术服务机构</w:t>
            </w:r>
          </w:p>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抽取辖区内注册的职业卫生和放射卫生技术服务机构60%开展监督检查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1.资质证书</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1.是否未取得职业卫生或放射卫生技术服务资质认可擅自从事职业卫生或放射卫生检测、评价技术服务；</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tblHeader/>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2.业务范围</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及出具证明</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1.是否超出资质认可范围从事职业卫生或放射卫生技术服务；</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2.是否出具虚假的职业卫生或放射卫生技术报告或其他虚假证明文件。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86" w:hRule="atLeast"/>
          <w:tblHeader/>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3.技术服务相关工作要求</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存在具备自行检测条件而委托其他机构检测的情形，是否存在委托检测的机构不具备技术服务机构资质和相应检测能力的情形，是否存在委托其他机构实施样品现场采集和检测结果分析及应用等工作的情形；</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3.是否以书面形式与用人单位明确技术服务内容、范围以及双方的责任；</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4.是否转包职业卫生或放射卫生技术服务项目；</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5.是否擅自更改、简化技术服务程序和相关内容；</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6.是否按规定在网上公开职业卫生或放射卫生技术报告相关信息；</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7.是否按规定向卫生健康主管部门报送职业卫生或放射卫生技术服务相关信息。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7" w:hRule="atLeast"/>
          <w:tblHeader/>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4.专业技术人员管理</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1.是否使用非本机构专业技术人员从事职业卫生或放射卫生技术服务活动；</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2.是否安排未达到技术评审考核评估要求的专业技术人员参与职业卫生或放射卫生技术服务；</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3.是否在职业卫生或放射卫生技术服务报告或者有关原始记录上代替他人签字；</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4.是否未参与相应技术服务事项而在技术报告或者有关原始记录上签字。</w:t>
            </w: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附表4</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 xml:space="preserve">2024年职业卫生和放射卫生技术服务机构随机监督抽查汇总表 </w:t>
      </w:r>
    </w:p>
    <w:tbl>
      <w:tblPr>
        <w:tblStyle w:val="2"/>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7"/>
        <w:gridCol w:w="506"/>
        <w:gridCol w:w="499"/>
        <w:gridCol w:w="633"/>
        <w:gridCol w:w="1155"/>
        <w:gridCol w:w="1683"/>
        <w:gridCol w:w="1163"/>
        <w:gridCol w:w="966"/>
        <w:gridCol w:w="1145"/>
        <w:gridCol w:w="1311"/>
        <w:gridCol w:w="907"/>
        <w:gridCol w:w="797"/>
        <w:gridCol w:w="85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监督检查对象</w:t>
            </w:r>
          </w:p>
        </w:tc>
        <w:tc>
          <w:tcPr>
            <w:tcW w:w="1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辖</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区</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单</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位</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数</w:t>
            </w:r>
          </w:p>
        </w:tc>
        <w:tc>
          <w:tcPr>
            <w:tcW w:w="189"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抽</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查</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单</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位</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数</w:t>
            </w:r>
          </w:p>
        </w:tc>
        <w:tc>
          <w:tcPr>
            <w:tcW w:w="24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不合格单位数</w:t>
            </w:r>
          </w:p>
        </w:tc>
        <w:tc>
          <w:tcPr>
            <w:tcW w:w="2814" w:type="pct"/>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不合格情况</w:t>
            </w:r>
          </w:p>
        </w:tc>
        <w:tc>
          <w:tcPr>
            <w:tcW w:w="1260"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4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6"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资质证书</w:t>
            </w:r>
          </w:p>
        </w:tc>
        <w:tc>
          <w:tcPr>
            <w:tcW w:w="1737"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技术服务规范性</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案件查处数</w:t>
            </w:r>
          </w:p>
        </w:tc>
        <w:tc>
          <w:tcPr>
            <w:tcW w:w="3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警告</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单位数</w:t>
            </w:r>
          </w:p>
        </w:tc>
        <w:tc>
          <w:tcPr>
            <w:tcW w:w="32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罚款</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没收</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违法</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所得</w:t>
            </w:r>
          </w:p>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4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无资质擅自从事检测、评价服务单位数</w:t>
            </w:r>
          </w:p>
        </w:tc>
        <w:tc>
          <w:tcPr>
            <w:tcW w:w="6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0"/>
                <w:sz w:val="21"/>
                <w:szCs w:val="21"/>
                <w:lang w:val="en-US" w:eastAsia="zh-CN" w:bidi="ar"/>
              </w:rPr>
              <w:t>涂改、倒卖、出租、出借或其他形式非法转让资质证书单位数</w:t>
            </w:r>
          </w:p>
        </w:tc>
        <w:tc>
          <w:tcPr>
            <w:tcW w:w="4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超出资质认可范围从事技术服务单位数</w:t>
            </w:r>
          </w:p>
        </w:tc>
        <w:tc>
          <w:tcPr>
            <w:tcW w:w="36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出具虚假证明文件单位数</w:t>
            </w:r>
          </w:p>
        </w:tc>
        <w:tc>
          <w:tcPr>
            <w:tcW w:w="4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不符合技术服务相关工作要求单位数</w:t>
            </w:r>
          </w:p>
        </w:tc>
        <w:tc>
          <w:tcPr>
            <w:tcW w:w="4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不符合专业技术人员管理要求单位数</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2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 w:hRule="atLeast"/>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职业卫生技术服务机构</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kern w:val="2"/>
                <w:sz w:val="32"/>
                <w:szCs w:val="24"/>
                <w:lang w:val="en-US"/>
              </w:rPr>
            </w:pPr>
          </w:p>
        </w:tc>
        <w:tc>
          <w:tcPr>
            <w:tcW w:w="189"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4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6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6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9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4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0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25"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放射卫生技术服务机构</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kern w:val="2"/>
                <w:sz w:val="32"/>
                <w:szCs w:val="24"/>
                <w:lang w:val="en-US"/>
              </w:rPr>
            </w:pPr>
          </w:p>
        </w:tc>
        <w:tc>
          <w:tcPr>
            <w:tcW w:w="189"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4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6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6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9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4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0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25"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r>
    </w:tbl>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pacing w:val="-20"/>
          <w:kern w:val="2"/>
          <w:sz w:val="44"/>
          <w:szCs w:val="22"/>
          <w:lang w:val="en-US"/>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黑体"/>
          <w:kern w:val="2"/>
          <w:sz w:val="32"/>
          <w:szCs w:val="22"/>
          <w:lang w:val="en-US"/>
        </w:r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附表5</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2024年放射诊疗、职业健康检查、职业病诊断机构随机监督抽查工作计划表</w:t>
      </w:r>
    </w:p>
    <w:tbl>
      <w:tblPr>
        <w:tblStyle w:val="2"/>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2158"/>
        <w:gridCol w:w="1390"/>
        <w:gridCol w:w="920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序号</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监督检查对象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抽检比例</w:t>
            </w:r>
          </w:p>
        </w:tc>
        <w:tc>
          <w:tcPr>
            <w:tcW w:w="92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检查内容</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放射诊疗机构</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(含中医医疗机构)</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20%</w:t>
            </w:r>
          </w:p>
        </w:tc>
        <w:tc>
          <w:tcPr>
            <w:tcW w:w="92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2</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职业健康检查机构</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50%</w:t>
            </w:r>
          </w:p>
        </w:tc>
        <w:tc>
          <w:tcPr>
            <w:tcW w:w="92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职业病诊断机构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3</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职业病诊断机构</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50%</w:t>
            </w:r>
          </w:p>
        </w:tc>
        <w:tc>
          <w:tcPr>
            <w:tcW w:w="92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附表6</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2024年放射诊疗机构随机监督抽查汇总表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单位</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类别</w:t>
            </w:r>
          </w:p>
        </w:tc>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辖区内单位总数</w:t>
            </w:r>
          </w:p>
        </w:tc>
        <w:tc>
          <w:tcPr>
            <w:tcW w:w="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检查单位数</w:t>
            </w:r>
          </w:p>
        </w:tc>
        <w:tc>
          <w:tcPr>
            <w:tcW w:w="10348"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不合格情况</w:t>
            </w:r>
          </w:p>
        </w:tc>
        <w:tc>
          <w:tcPr>
            <w:tcW w:w="1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职业病人管理不符合有关规定单位数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核医学诊疗过程不符合有关规定单位数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放射性同位素管理不符合有关规定单位数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放射治疗过程不符合有关规定单位数</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管理制度不符合有关规定单位数</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案件查处数</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放射诊疗机构</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合计</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附表7</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2024年职业健康检查机构、职业病诊断机构随机监督抽查汇总表</w:t>
      </w:r>
    </w:p>
    <w:tbl>
      <w:tblPr>
        <w:tblStyle w:val="2"/>
        <w:tblW w:w="14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1"/>
        <w:gridCol w:w="723"/>
        <w:gridCol w:w="777"/>
        <w:gridCol w:w="1160"/>
        <w:gridCol w:w="981"/>
        <w:gridCol w:w="941"/>
        <w:gridCol w:w="1091"/>
        <w:gridCol w:w="696"/>
        <w:gridCol w:w="1118"/>
        <w:gridCol w:w="941"/>
        <w:gridCol w:w="1036"/>
        <w:gridCol w:w="791"/>
        <w:gridCol w:w="1268"/>
        <w:gridCol w:w="45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jc w:val="center"/>
        </w:trPr>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辖区内单位总数</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检查单位数</w:t>
            </w:r>
          </w:p>
        </w:tc>
        <w:tc>
          <w:tcPr>
            <w:tcW w:w="100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不合格情况</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未在备案范围内开展工作单位数</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出具的报告书、诊断证明书不符合相关要求单位数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人员不能满足工作要求单位数</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仪器设备场所不能满足工作要求单位数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出具虚假证明文件</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质量控制、程序不符合相关要求单位数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档案管理不符合相关要求单位数</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管理制度不符合相关要求单位数</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劳动者保护不符合相关要求单位数</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职业健康检查结果、职业禁忌、疑似职业病、职业病的告知、通知、报告不符合相关要求单位数</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案件查处数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职业健康检查机构</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职业病诊断机构</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合计</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附表8</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2024年职业卫生放射卫生随机监督抽查任务清单</w:t>
      </w:r>
    </w:p>
    <w:p>
      <w:pPr>
        <w:keepNext w:val="0"/>
        <w:keepLines w:val="0"/>
        <w:widowControl w:val="0"/>
        <w:suppressLineNumbers w:val="0"/>
        <w:spacing w:before="0" w:beforeAutospacing="0" w:after="0" w:afterAutospacing="0" w:line="240" w:lineRule="exact"/>
        <w:ind w:left="0" w:right="-643" w:rightChars="-306"/>
        <w:jc w:val="both"/>
        <w:rPr>
          <w:rFonts w:hint="eastAsia" w:ascii="华文仿宋" w:hAnsi="华文仿宋" w:eastAsia="华文仿宋" w:cs="华文仿宋"/>
          <w:kern w:val="2"/>
          <w:sz w:val="21"/>
          <w:szCs w:val="21"/>
          <w:lang w:val="en-US"/>
        </w:rPr>
      </w:pPr>
      <w:r>
        <w:rPr>
          <w:rFonts w:hint="eastAsia" w:ascii="华文仿宋" w:hAnsi="华文仿宋" w:eastAsia="华文仿宋" w:cs="华文仿宋"/>
          <w:kern w:val="2"/>
          <w:sz w:val="21"/>
          <w:szCs w:val="21"/>
          <w:lang w:val="en-US" w:eastAsia="zh-CN" w:bidi="ar"/>
        </w:rPr>
        <w:t xml:space="preserve">  </w:t>
      </w:r>
    </w:p>
    <w:tbl>
      <w:tblPr>
        <w:tblStyle w:val="2"/>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8"/>
        <w:gridCol w:w="3705"/>
        <w:gridCol w:w="2216"/>
        <w:gridCol w:w="1649"/>
        <w:gridCol w:w="252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5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单位类别</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辖区单位总数</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抽查单位数</w:t>
            </w: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抽取比例</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jc w:val="center"/>
        </w:trPr>
        <w:tc>
          <w:tcPr>
            <w:tcW w:w="5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用人单位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jc w:val="center"/>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技术服务机构</w:t>
            </w:r>
          </w:p>
        </w:tc>
        <w:tc>
          <w:tcPr>
            <w:tcW w:w="3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职业卫生</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jc w:val="center"/>
        </w:trPr>
        <w:tc>
          <w:tcPr>
            <w:tcW w:w="1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放射卫生</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职业健康检查机构</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职业病诊断机构</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放射诊疗机构</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kern w:val="2"/>
                <w:sz w:val="21"/>
                <w:szCs w:val="22"/>
                <w:lang w:val="en-US"/>
              </w:rPr>
            </w:pPr>
          </w:p>
        </w:tc>
      </w:tr>
    </w:tbl>
    <w:p>
      <w:pPr>
        <w:keepNext w:val="0"/>
        <w:keepLines w:val="0"/>
        <w:widowControl w:val="0"/>
        <w:suppressLineNumbers w:val="0"/>
        <w:spacing w:before="240" w:beforeAutospacing="0" w:after="60" w:afterAutospacing="0"/>
        <w:ind w:left="0" w:right="0"/>
        <w:jc w:val="center"/>
        <w:outlineLvl w:val="0"/>
        <w:rPr>
          <w:rFonts w:hint="default" w:ascii="Cambria" w:hAnsi="Cambria" w:eastAsia="Cambria" w:cs="Cambria"/>
          <w:b/>
          <w:bCs/>
          <w:kern w:val="2"/>
          <w:sz w:val="21"/>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bCs/>
          <w:kern w:val="2"/>
          <w:sz w:val="32"/>
          <w:szCs w:val="32"/>
          <w:lang w:val="en-US"/>
        </w:rPr>
      </w:pPr>
    </w:p>
    <w:p>
      <w:pPr>
        <w:rPr>
          <w:rFonts w:hint="eastAsia" w:ascii="黑体" w:hAnsi="宋体" w:eastAsia="黑体" w:cs="黑体"/>
          <w:bCs/>
          <w:sz w:val="32"/>
          <w:szCs w:val="32"/>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51AC5"/>
    <w:multiLevelType w:val="multilevel"/>
    <w:tmpl w:val="A5851AC5"/>
    <w:lvl w:ilvl="0" w:tentative="0">
      <w:start w:val="2"/>
      <w:numFmt w:val="chineseCounting"/>
      <w:suff w:val="nothing"/>
      <w:lvlText w:val="%1、"/>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643E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2024-04-17T09:34:56Z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F5C84DED858E4545AAB7C549C55998DC_12</vt:lpwstr>
  </property>
</Properties>
</file>