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overflowPunct/>
        <w:topLinePunct w:val="0"/>
        <w:autoSpaceDE/>
        <w:autoSpaceDN/>
        <w:bidi w:val="0"/>
        <w:adjustRightInd/>
        <w:spacing w:line="590" w:lineRule="exact"/>
        <w:jc w:val="center"/>
        <w:textAlignment w:val="auto"/>
        <w:outlineLvl w:val="0"/>
        <w:rPr>
          <w:rStyle w:val="9"/>
          <w:rFonts w:hint="eastAsia" w:ascii="Times New Roman" w:hAnsi="Times New Roman" w:eastAsia="方正小标宋_GBK" w:cs="方正小标宋_GBK"/>
          <w:b w:val="0"/>
          <w:kern w:val="2"/>
          <w:sz w:val="44"/>
          <w:szCs w:val="44"/>
          <w:shd w:val="clear" w:color="auto" w:fill="FFFFFF"/>
          <w:lang w:val="en-US" w:eastAsia="zh-CN" w:bidi="ar-SA"/>
        </w:rPr>
      </w:pPr>
      <w:r>
        <w:rPr>
          <w:rStyle w:val="9"/>
          <w:rFonts w:hint="eastAsia" w:ascii="Times New Roman" w:hAnsi="Times New Roman" w:eastAsia="方正小标宋_GBK" w:cs="方正小标宋_GBK"/>
          <w:b w:val="0"/>
          <w:kern w:val="2"/>
          <w:sz w:val="44"/>
          <w:szCs w:val="44"/>
          <w:shd w:val="clear" w:color="auto" w:fill="FFFFFF"/>
          <w:lang w:val="en-US" w:eastAsia="zh-CN" w:bidi="ar-SA"/>
        </w:rPr>
        <w:t>XX疾病预防控制中心信息公开</w:t>
      </w:r>
    </w:p>
    <w:p>
      <w:pPr>
        <w:keepNext w:val="0"/>
        <w:keepLines w:val="0"/>
        <w:pageBreakBefore w:val="0"/>
        <w:widowControl w:val="0"/>
        <w:shd w:val="clear"/>
        <w:kinsoku/>
        <w:wordWrap/>
        <w:overflowPunct/>
        <w:topLinePunct w:val="0"/>
        <w:autoSpaceDE/>
        <w:autoSpaceDN/>
        <w:bidi w:val="0"/>
        <w:adjustRightInd/>
        <w:snapToGrid w:val="0"/>
        <w:spacing w:line="240" w:lineRule="auto"/>
        <w:jc w:val="left"/>
        <w:textAlignment w:val="auto"/>
        <w:rPr>
          <w:rStyle w:val="9"/>
          <w:rFonts w:hint="default"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pPr>
      <w:r>
        <w:rPr>
          <w:rStyle w:val="9"/>
          <w:rFonts w:hint="default" w:ascii="方正仿宋_GBK" w:hAnsi="方正仿宋_GBK" w:eastAsia="方正仿宋_GBK" w:cs="方正仿宋_GBK"/>
          <w:b w:val="0"/>
          <w:bCs/>
          <w:color w:val="0D0D0D" w:themeColor="text1" w:themeTint="F2"/>
          <w:kern w:val="2"/>
          <w:sz w:val="32"/>
          <w:szCs w:val="32"/>
          <w:u w:val="none"/>
          <w:shd w:val="clear" w:color="auto" w:fill="FFFFFF"/>
          <w:lang w:val="en-US" w:eastAsia="zh-CN" w:bidi="ar-SA"/>
          <w14:textFill>
            <w14:solidFill>
              <w14:schemeClr w14:val="tx1">
                <w14:lumMod w14:val="95000"/>
                <w14:lumOff w14:val="5000"/>
              </w14:schemeClr>
            </w14:solidFill>
          </w14:textFill>
        </w:rPr>
        <w:t>(注:1.如医疗卫生机构暂无法提供目录中某栏目所要求公开内容，如暂不提供某项服务等，建议在相应栏目下做出情况说明。2.标黄处请各医疗卫生机构按照实际情况提供内容替换即可，其他信息请不要更改。)</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lang w:val="en-US" w:eastAsia="zh-CN"/>
        </w:rPr>
      </w:pPr>
      <w:r>
        <w:rPr>
          <w:rFonts w:hint="eastAsia" w:ascii="Times New Roman" w:hAnsi="Times New Roman" w:eastAsia="方正黑体_GBK" w:cs="方正黑体_GBK"/>
          <w:kern w:val="0"/>
          <w:sz w:val="32"/>
          <w:szCs w:val="32"/>
          <w:shd w:val="clear" w:color="auto" w:fill="FFFFFF"/>
          <w:lang w:val="en-US" w:eastAsia="zh-CN" w:bidi="ar-SA"/>
        </w:rPr>
        <w:t>一、机构人员</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（一）机构信息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b/>
          <w:bCs/>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公开机构的设置依据及相关情况、负责人情况、机构基本信息等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南充市疾病预防控制中心机构简介</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一、机构职能</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南充市疾病预防控制中心成立于2004年4月，是主要从事疾病预防控制与公共卫生技术管理和服务的公益一类事业单位，同时挂有“南充市卫生检测检验中心”的牌子。是四川大学、川北医学院及雅安职业技术学院的教学实践基地。依法承担疾病预防控制、突发公共卫生事件应急处置、疫情报告及健康相关因素信息管理、健康危害因素监测与干预、实验室检测分析与评价、健康教育与健康促进等公共职能</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二、机构设置</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（一）办公室</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对应省疾控中心：办公室、后勤管理处，市卫计委：办公室。领导职数：2，岗位职数：13（含专职驾驶3人，不含基本建设管理人员）。</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1.负责中心日常工作的综合协调，组织建立和完善中心各项规章制度并督促贯彻落实；</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2.负责组织起草中心行政事务工作规划、计划、总结、报告等各类综合性文稿，办理人大代表建议、政协委员提案，编撰中心大事记、史志，开展综合调研；</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3.负责统筹管理中心各类会议，组织办理、记录中心领导办公会、中心主任办公会和以中心名义召开的综合性会议，负责督查督办会议的决定、决议、重要工作部署的落实情况；</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科室负责人：.......</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职务：.......</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联系电话：.......</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三、办公地址</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南充市顺庆区马市铺路366号</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四、工作时间</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夏季 8:30-12:00 15:00-18:30 冬季8:30-12:00 14:30-18:00</w:t>
      </w:r>
      <w:r>
        <w:rPr>
          <w:rFonts w:hint="eastAsia" w:ascii="Times New Roman" w:hAnsi="Times New Roman" w:eastAsia="楷体" w:cs="楷体"/>
          <w:kern w:val="0"/>
          <w:sz w:val="28"/>
          <w:szCs w:val="28"/>
          <w:highlight w:val="yellow"/>
          <w:shd w:val="clear" w:color="auto" w:fill="FFFFFF"/>
          <w:lang w:val="en-US" w:eastAsia="zh-CN" w:bidi="ar-SA"/>
        </w:rPr>
        <w:t>（法定工作日）</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联系电话：0817-233XXXX</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1"/>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负责人姓名：XXX</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default" w:ascii="Times New Roman" w:hAnsi="Times New Roman" w:eastAsia="宋体" w:cs="Times New Roman"/>
          <w:kern w:val="0"/>
          <w:sz w:val="28"/>
          <w:szCs w:val="28"/>
          <w:highlight w:val="none"/>
          <w:shd w:val="clear" w:color="auto" w:fill="FFFFFF"/>
          <w:lang w:val="en-US" w:eastAsia="zh-CN" w:bidi="ar-SA"/>
        </w:rPr>
      </w:pPr>
      <w:r>
        <w:rPr>
          <w:rStyle w:val="11"/>
          <w:rFonts w:hint="eastAsia" w:ascii="Times New Roman" w:hAnsi="Times New Roman" w:eastAsia="宋体" w:cs="Times New Roman"/>
          <w:kern w:val="0"/>
          <w:sz w:val="28"/>
          <w:szCs w:val="28"/>
          <w:highlight w:val="none"/>
          <w:shd w:val="clear" w:color="auto" w:fill="FFFFFF"/>
          <w:lang w:val="en-US" w:eastAsia="zh-CN" w:bidi="ar-SA"/>
        </w:rPr>
        <w:t>参考链接：</w:t>
      </w:r>
      <w:r>
        <w:rPr>
          <w:rStyle w:val="11"/>
          <w:rFonts w:hint="default" w:ascii="Times New Roman" w:hAnsi="Times New Roman" w:eastAsia="宋体" w:cs="Times New Roman"/>
          <w:kern w:val="0"/>
          <w:sz w:val="28"/>
          <w:szCs w:val="28"/>
          <w:highlight w:val="none"/>
          <w:shd w:val="clear" w:color="auto" w:fill="FFFFFF"/>
          <w:lang w:val="en-US" w:eastAsia="zh-CN" w:bidi="ar-SA"/>
        </w:rPr>
        <w:t>https://www.nanchong.gov.cn/jkzx/zwxx/zfxxgkzl/fdzdgknr/jgjj/jgsz_967/</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color w:val="auto"/>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（二）人员识别</w:t>
      </w:r>
      <w:r>
        <w:rPr>
          <w:rFonts w:hint="eastAsia" w:ascii="Times New Roman" w:hAnsi="Times New Roman" w:eastAsia="方正楷体_GBK" w:cs="方正楷体_GBK"/>
          <w:color w:val="auto"/>
          <w:kern w:val="0"/>
          <w:sz w:val="32"/>
          <w:szCs w:val="32"/>
          <w:shd w:val="clear" w:color="auto" w:fill="FFFFFF"/>
          <w:lang w:val="en-US" w:eastAsia="zh-CN" w:bidi="ar-SA"/>
        </w:rPr>
        <w:t>（线下公开）</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对社会公众提供服务的疾病防控、行政及后勤等工作人员标识：姓名、科室(部门)等</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二、准入许可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（一）设备准入</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对社会公众提供服务的大型医用设备配置许可及实验设备的使用许可等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jc w:val="center"/>
        <w:textAlignment w:val="auto"/>
        <w:outlineLvl w:val="1"/>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XXXX疾病预防控制中心大型设备配置</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1</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荧光PCR7500系列1台，用于核酸检测项目。</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等离子发射光谱仪1台，用于生活饮用水检验项目。</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3</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荧光PCRQ5系列1台，用于核酸检测项目。</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：http://www.ny.gov.cn/art/2023/6/28/art_296031_10314564.html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三、研究平台</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（一）重点研究平台</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如有国家级、省级、市级等临床研究中心、工程研究中心、重点实验室等研究平台等，公开研究平台相关信息</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756"/>
        <w:gridCol w:w="6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00"/>
          </w:tcPr>
          <w:p>
            <w:pPr>
              <w:pStyle w:val="5"/>
              <w:keepNext w:val="0"/>
              <w:keepLines w:val="0"/>
              <w:pageBreakBefore w:val="0"/>
              <w:widowControl/>
              <w:kinsoku/>
              <w:wordWrap w:val="0"/>
              <w:overflowPunct/>
              <w:topLinePunct w:val="0"/>
              <w:autoSpaceDE/>
              <w:autoSpaceDN/>
              <w:bidi w:val="0"/>
              <w:adjustRightInd/>
              <w:snapToGrid w:val="0"/>
              <w:spacing w:beforeAutospacing="0" w:afterAutospacing="0" w:line="240" w:lineRule="auto"/>
              <w:jc w:val="center"/>
              <w:textAlignment w:val="auto"/>
              <w:rPr>
                <w:rFonts w:hint="default" w:ascii="Times New Roman" w:hAnsi="Times New Roman" w:eastAsia="楷体" w:cs="楷体"/>
                <w:b/>
                <w:bCs/>
                <w:kern w:val="0"/>
                <w:sz w:val="22"/>
                <w:szCs w:val="22"/>
                <w:highlight w:val="yellow"/>
                <w:shd w:val="clear" w:color="auto" w:fill="FFFFFF"/>
                <w:vertAlign w:val="baseline"/>
                <w:lang w:val="en-US" w:eastAsia="zh-CN" w:bidi="ar-SA"/>
              </w:rPr>
            </w:pPr>
            <w:r>
              <w:rPr>
                <w:rFonts w:hint="eastAsia" w:ascii="Times New Roman" w:hAnsi="Times New Roman" w:eastAsia="楷体" w:cs="楷体"/>
                <w:b/>
                <w:bCs/>
                <w:kern w:val="0"/>
                <w:sz w:val="22"/>
                <w:szCs w:val="22"/>
                <w:highlight w:val="yellow"/>
                <w:shd w:val="clear" w:color="auto" w:fill="FFFFFF"/>
                <w:vertAlign w:val="baseline"/>
                <w:lang w:val="en-US" w:eastAsia="zh-CN" w:bidi="ar-SA"/>
              </w:rPr>
              <w:t>序号</w:t>
            </w:r>
          </w:p>
        </w:tc>
        <w:tc>
          <w:tcPr>
            <w:tcW w:w="1756" w:type="dxa"/>
            <w:shd w:val="clear" w:color="auto" w:fill="FFFF00"/>
          </w:tcPr>
          <w:p>
            <w:pPr>
              <w:pStyle w:val="5"/>
              <w:keepNext w:val="0"/>
              <w:keepLines w:val="0"/>
              <w:pageBreakBefore w:val="0"/>
              <w:widowControl/>
              <w:kinsoku/>
              <w:wordWrap w:val="0"/>
              <w:overflowPunct/>
              <w:topLinePunct w:val="0"/>
              <w:autoSpaceDE/>
              <w:autoSpaceDN/>
              <w:bidi w:val="0"/>
              <w:adjustRightInd/>
              <w:snapToGrid w:val="0"/>
              <w:spacing w:beforeAutospacing="0" w:afterAutospacing="0" w:line="240" w:lineRule="auto"/>
              <w:jc w:val="center"/>
              <w:textAlignment w:val="auto"/>
              <w:rPr>
                <w:rFonts w:hint="default" w:ascii="Times New Roman" w:hAnsi="Times New Roman" w:eastAsia="楷体" w:cs="楷体"/>
                <w:b/>
                <w:bCs/>
                <w:kern w:val="0"/>
                <w:sz w:val="22"/>
                <w:szCs w:val="22"/>
                <w:highlight w:val="yellow"/>
                <w:shd w:val="clear" w:color="auto" w:fill="FFFFFF"/>
                <w:vertAlign w:val="baseline"/>
                <w:lang w:val="en-US" w:eastAsia="zh-CN" w:bidi="ar-SA"/>
              </w:rPr>
            </w:pPr>
            <w:r>
              <w:rPr>
                <w:rFonts w:hint="eastAsia" w:ascii="Times New Roman" w:hAnsi="Times New Roman" w:eastAsia="楷体" w:cs="楷体"/>
                <w:b/>
                <w:bCs/>
                <w:kern w:val="0"/>
                <w:sz w:val="22"/>
                <w:szCs w:val="22"/>
                <w:highlight w:val="yellow"/>
                <w:shd w:val="clear" w:color="auto" w:fill="FFFFFF"/>
                <w:vertAlign w:val="baseline"/>
                <w:lang w:val="en-US" w:eastAsia="zh-CN" w:bidi="ar-SA"/>
              </w:rPr>
              <w:t>名称</w:t>
            </w:r>
          </w:p>
        </w:tc>
        <w:tc>
          <w:tcPr>
            <w:tcW w:w="6016" w:type="dxa"/>
            <w:shd w:val="clear" w:color="auto" w:fill="FFFF00"/>
          </w:tcPr>
          <w:p>
            <w:pPr>
              <w:pStyle w:val="5"/>
              <w:keepNext w:val="0"/>
              <w:keepLines w:val="0"/>
              <w:pageBreakBefore w:val="0"/>
              <w:widowControl/>
              <w:kinsoku/>
              <w:wordWrap w:val="0"/>
              <w:overflowPunct/>
              <w:topLinePunct w:val="0"/>
              <w:autoSpaceDE/>
              <w:autoSpaceDN/>
              <w:bidi w:val="0"/>
              <w:adjustRightInd/>
              <w:snapToGrid w:val="0"/>
              <w:spacing w:beforeAutospacing="0" w:afterAutospacing="0" w:line="240" w:lineRule="auto"/>
              <w:jc w:val="center"/>
              <w:textAlignment w:val="auto"/>
              <w:rPr>
                <w:rFonts w:hint="default" w:ascii="Times New Roman" w:hAnsi="Times New Roman" w:eastAsia="楷体" w:cs="楷体"/>
                <w:b/>
                <w:bCs/>
                <w:kern w:val="0"/>
                <w:sz w:val="22"/>
                <w:szCs w:val="22"/>
                <w:highlight w:val="yellow"/>
                <w:shd w:val="clear" w:color="auto" w:fill="FFFFFF"/>
                <w:vertAlign w:val="baseline"/>
                <w:lang w:val="en-US" w:eastAsia="zh-CN" w:bidi="ar-SA"/>
              </w:rPr>
            </w:pPr>
            <w:r>
              <w:rPr>
                <w:rFonts w:hint="eastAsia" w:ascii="Times New Roman" w:hAnsi="Times New Roman" w:eastAsia="楷体" w:cs="楷体"/>
                <w:b/>
                <w:bCs/>
                <w:kern w:val="0"/>
                <w:sz w:val="22"/>
                <w:szCs w:val="22"/>
                <w:highlight w:val="yellow"/>
                <w:shd w:val="clear" w:color="auto" w:fill="FFFFFF"/>
                <w:vertAlign w:val="baseline"/>
                <w:lang w:val="en-US" w:eastAsia="zh-CN" w:bidi="ar-SA"/>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00"/>
            <w:vAlign w:val="center"/>
          </w:tcPr>
          <w:p>
            <w:pPr>
              <w:pStyle w:val="5"/>
              <w:keepNext w:val="0"/>
              <w:keepLines w:val="0"/>
              <w:pageBreakBefore w:val="0"/>
              <w:widowControl/>
              <w:kinsoku/>
              <w:wordWrap w:val="0"/>
              <w:overflowPunct/>
              <w:topLinePunct w:val="0"/>
              <w:autoSpaceDE/>
              <w:autoSpaceDN/>
              <w:bidi w:val="0"/>
              <w:adjustRightInd/>
              <w:snapToGrid w:val="0"/>
              <w:spacing w:beforeAutospacing="0" w:afterAutospacing="0" w:line="240" w:lineRule="auto"/>
              <w:jc w:val="center"/>
              <w:textAlignment w:val="auto"/>
              <w:rPr>
                <w:rFonts w:hint="default" w:ascii="Times New Roman" w:hAnsi="Times New Roman" w:eastAsia="楷体" w:cs="楷体"/>
                <w:b/>
                <w:bCs/>
                <w:color w:val="0D0D0D" w:themeColor="text1" w:themeTint="F2"/>
                <w:kern w:val="0"/>
                <w:sz w:val="22"/>
                <w:szCs w:val="22"/>
                <w:highlight w:val="yellow"/>
                <w:shd w:val="clear" w:color="auto" w:fill="FFFFFF"/>
                <w:vertAlign w:val="baseline"/>
                <w:lang w:val="en-US" w:eastAsia="zh-CN" w:bidi="ar-SA"/>
                <w14:textFill>
                  <w14:solidFill>
                    <w14:schemeClr w14:val="tx1">
                      <w14:lumMod w14:val="95000"/>
                      <w14:lumOff w14:val="5000"/>
                    </w14:schemeClr>
                  </w14:solidFill>
                </w14:textFill>
              </w:rPr>
            </w:pPr>
            <w:r>
              <w:rPr>
                <w:rFonts w:hint="eastAsia" w:ascii="Times New Roman" w:hAnsi="Times New Roman" w:eastAsia="楷体" w:cs="楷体"/>
                <w:b/>
                <w:bCs/>
                <w:color w:val="0D0D0D" w:themeColor="text1" w:themeTint="F2"/>
                <w:kern w:val="0"/>
                <w:sz w:val="22"/>
                <w:szCs w:val="22"/>
                <w:highlight w:val="yellow"/>
                <w:shd w:val="clear" w:color="auto" w:fill="FFFFFF"/>
                <w:vertAlign w:val="baseline"/>
                <w:lang w:val="en-US" w:eastAsia="zh-CN" w:bidi="ar-SA"/>
                <w14:textFill>
                  <w14:solidFill>
                    <w14:schemeClr w14:val="tx1">
                      <w14:lumMod w14:val="95000"/>
                      <w14:lumOff w14:val="5000"/>
                    </w14:schemeClr>
                  </w14:solidFill>
                </w14:textFill>
              </w:rPr>
              <w:t>1</w:t>
            </w:r>
          </w:p>
        </w:tc>
        <w:tc>
          <w:tcPr>
            <w:tcW w:w="1756" w:type="dxa"/>
            <w:shd w:val="clear" w:color="auto" w:fill="FFFF00"/>
            <w:vAlign w:val="center"/>
          </w:tcPr>
          <w:p>
            <w:pPr>
              <w:pStyle w:val="5"/>
              <w:keepNext w:val="0"/>
              <w:keepLines w:val="0"/>
              <w:pageBreakBefore w:val="0"/>
              <w:widowControl/>
              <w:kinsoku/>
              <w:wordWrap w:val="0"/>
              <w:overflowPunct/>
              <w:topLinePunct w:val="0"/>
              <w:autoSpaceDE/>
              <w:autoSpaceDN/>
              <w:bidi w:val="0"/>
              <w:adjustRightInd/>
              <w:snapToGrid w:val="0"/>
              <w:spacing w:beforeAutospacing="0" w:afterAutospacing="0" w:line="240" w:lineRule="auto"/>
              <w:jc w:val="center"/>
              <w:textAlignment w:val="auto"/>
              <w:rPr>
                <w:rFonts w:hint="eastAsia" w:ascii="Times New Roman" w:hAnsi="Times New Roman" w:eastAsia="楷体" w:cs="楷体"/>
                <w:b/>
                <w:bCs/>
                <w:color w:val="0D0D0D" w:themeColor="text1" w:themeTint="F2"/>
                <w:kern w:val="0"/>
                <w:sz w:val="22"/>
                <w:szCs w:val="22"/>
                <w:highlight w:val="yellow"/>
                <w:shd w:val="clear" w:color="auto" w:fill="FFFFFF"/>
                <w:vertAlign w:val="baseline"/>
                <w:lang w:val="en-US" w:eastAsia="zh-CN" w:bidi="ar-SA"/>
                <w14:textFill>
                  <w14:solidFill>
                    <w14:schemeClr w14:val="tx1">
                      <w14:lumMod w14:val="95000"/>
                      <w14:lumOff w14:val="5000"/>
                    </w14:schemeClr>
                  </w14:solidFill>
                </w14:textFill>
              </w:rPr>
            </w:pPr>
            <w:r>
              <w:rPr>
                <w:rFonts w:hint="eastAsia" w:ascii="Times New Roman" w:hAnsi="Times New Roman" w:eastAsia="楷体" w:cs="楷体"/>
                <w:b/>
                <w:bCs/>
                <w:color w:val="0D0D0D" w:themeColor="text1" w:themeTint="F2"/>
                <w:kern w:val="0"/>
                <w:sz w:val="22"/>
                <w:szCs w:val="22"/>
                <w:highlight w:val="yellow"/>
                <w:shd w:val="clear" w:color="auto" w:fill="FFFFFF"/>
                <w:lang w:val="en-US" w:eastAsia="zh-CN" w:bidi="ar-SA"/>
                <w14:textFill>
                  <w14:solidFill>
                    <w14:schemeClr w14:val="tx1">
                      <w14:lumMod w14:val="95000"/>
                      <w14:lumOff w14:val="5000"/>
                    </w14:schemeClr>
                  </w14:solidFill>
                </w14:textFill>
              </w:rPr>
              <w:t>国家人体生物监测重点实验室</w:t>
            </w:r>
          </w:p>
        </w:tc>
        <w:tc>
          <w:tcPr>
            <w:tcW w:w="6016"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440" w:firstLineChars="200"/>
              <w:jc w:val="both"/>
              <w:textAlignment w:val="auto"/>
              <w:rPr>
                <w:rFonts w:hint="eastAsia" w:ascii="Times New Roman" w:hAnsi="Times New Roman" w:eastAsia="楷体" w:cs="楷体"/>
                <w:b/>
                <w:bCs/>
                <w:color w:val="0D0D0D" w:themeColor="text1" w:themeTint="F2"/>
                <w:kern w:val="0"/>
                <w:sz w:val="22"/>
                <w:szCs w:val="22"/>
                <w:highlight w:val="yellow"/>
                <w:shd w:val="clear" w:color="auto" w:fill="FFFFFF"/>
                <w:vertAlign w:val="baseline"/>
                <w:lang w:val="en-US" w:eastAsia="zh-CN" w:bidi="ar-SA"/>
                <w14:textFill>
                  <w14:solidFill>
                    <w14:schemeClr w14:val="tx1">
                      <w14:lumMod w14:val="95000"/>
                      <w14:lumOff w14:val="5000"/>
                    </w14:schemeClr>
                  </w14:solidFill>
                </w14:textFill>
              </w:rPr>
            </w:pPr>
            <w:r>
              <w:rPr>
                <w:rFonts w:hint="eastAsia" w:ascii="Times New Roman" w:hAnsi="Times New Roman" w:eastAsia="楷体" w:cs="楷体"/>
                <w:color w:val="0D0D0D" w:themeColor="text1" w:themeTint="F2"/>
                <w:kern w:val="0"/>
                <w:sz w:val="22"/>
                <w:szCs w:val="22"/>
                <w:highlight w:val="yellow"/>
                <w:shd w:val="clear" w:color="auto" w:fill="FFFFFF"/>
                <w:lang w:val="en-US" w:eastAsia="zh-CN" w:bidi="ar-SA"/>
                <w14:textFill>
                  <w14:solidFill>
                    <w14:schemeClr w14:val="tx1">
                      <w14:lumMod w14:val="95000"/>
                      <w14:lumOff w14:val="5000"/>
                    </w14:schemeClr>
                  </w14:solidFill>
                </w14:textFill>
              </w:rPr>
              <w:t>履职国家生物监测重点实验室在方法研制、协同验证、监测任务承担等方面职能，开展生物样品中以化学品污染物暴露、重金属污染暴露和营养素等为对象的体内代谢物监测检测工作，通过提供重要技术保障及多方面的人才支持，更好的推进国家和本市环境污染健康影响人体生物监测体系的建设，为制定国内不同人群的暴露水平基准提供依据，并为相关的健康干预和评价提供关键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00"/>
            <w:vAlign w:val="center"/>
          </w:tcPr>
          <w:p>
            <w:pPr>
              <w:pStyle w:val="5"/>
              <w:keepNext w:val="0"/>
              <w:keepLines w:val="0"/>
              <w:pageBreakBefore w:val="0"/>
              <w:widowControl/>
              <w:kinsoku/>
              <w:wordWrap w:val="0"/>
              <w:overflowPunct/>
              <w:topLinePunct w:val="0"/>
              <w:autoSpaceDE/>
              <w:autoSpaceDN/>
              <w:bidi w:val="0"/>
              <w:adjustRightInd/>
              <w:snapToGrid w:val="0"/>
              <w:spacing w:beforeAutospacing="0" w:afterAutospacing="0" w:line="240" w:lineRule="auto"/>
              <w:jc w:val="center"/>
              <w:textAlignment w:val="auto"/>
              <w:rPr>
                <w:rFonts w:hint="default" w:ascii="Times New Roman" w:hAnsi="Times New Roman" w:eastAsia="楷体" w:cs="楷体"/>
                <w:b/>
                <w:bCs/>
                <w:kern w:val="0"/>
                <w:sz w:val="22"/>
                <w:szCs w:val="22"/>
                <w:highlight w:val="yellow"/>
                <w:shd w:val="clear" w:color="auto" w:fill="FFFFFF"/>
                <w:vertAlign w:val="baseline"/>
                <w:lang w:val="en-US" w:eastAsia="zh-CN" w:bidi="ar-SA"/>
              </w:rPr>
            </w:pPr>
            <w:r>
              <w:rPr>
                <w:rFonts w:hint="eastAsia" w:ascii="Times New Roman" w:hAnsi="Times New Roman" w:eastAsia="楷体" w:cs="楷体"/>
                <w:b/>
                <w:bCs/>
                <w:kern w:val="0"/>
                <w:sz w:val="22"/>
                <w:szCs w:val="22"/>
                <w:highlight w:val="yellow"/>
                <w:shd w:val="clear" w:color="auto" w:fill="FFFFFF"/>
                <w:vertAlign w:val="baseline"/>
                <w:lang w:val="en-US" w:eastAsia="zh-CN" w:bidi="ar-SA"/>
              </w:rPr>
              <w:t>2</w:t>
            </w:r>
          </w:p>
        </w:tc>
        <w:tc>
          <w:tcPr>
            <w:tcW w:w="1756" w:type="dxa"/>
            <w:shd w:val="clear" w:color="auto" w:fill="FFFF00"/>
            <w:vAlign w:val="center"/>
          </w:tcPr>
          <w:p>
            <w:pPr>
              <w:pStyle w:val="5"/>
              <w:keepNext w:val="0"/>
              <w:keepLines w:val="0"/>
              <w:pageBreakBefore w:val="0"/>
              <w:widowControl/>
              <w:kinsoku/>
              <w:wordWrap w:val="0"/>
              <w:overflowPunct/>
              <w:topLinePunct w:val="0"/>
              <w:autoSpaceDE/>
              <w:autoSpaceDN/>
              <w:bidi w:val="0"/>
              <w:adjustRightInd/>
              <w:snapToGrid w:val="0"/>
              <w:spacing w:beforeAutospacing="0" w:afterAutospacing="0" w:line="240" w:lineRule="auto"/>
              <w:jc w:val="center"/>
              <w:textAlignment w:val="auto"/>
              <w:rPr>
                <w:rFonts w:hint="eastAsia" w:ascii="Times New Roman" w:hAnsi="Times New Roman" w:eastAsia="楷体" w:cs="楷体"/>
                <w:b/>
                <w:bCs/>
                <w:kern w:val="0"/>
                <w:sz w:val="22"/>
                <w:szCs w:val="22"/>
                <w:highlight w:val="yellow"/>
                <w:shd w:val="clear" w:color="auto" w:fill="FFFFFF"/>
                <w:lang w:val="en-US" w:eastAsia="zh-CN" w:bidi="ar-SA"/>
              </w:rPr>
            </w:pPr>
            <w:r>
              <w:rPr>
                <w:rFonts w:hint="eastAsia" w:ascii="Times New Roman" w:hAnsi="Times New Roman" w:eastAsia="楷体" w:cs="楷体"/>
                <w:b/>
                <w:bCs/>
                <w:kern w:val="0"/>
                <w:sz w:val="22"/>
                <w:szCs w:val="22"/>
                <w:highlight w:val="yellow"/>
                <w:shd w:val="clear" w:color="auto" w:fill="FFFFFF"/>
                <w:lang w:val="en-US" w:eastAsia="zh-CN" w:bidi="ar-SA"/>
              </w:rPr>
              <w:t>上海市艾滋病研究中心</w:t>
            </w:r>
          </w:p>
        </w:tc>
        <w:tc>
          <w:tcPr>
            <w:tcW w:w="6016"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440" w:firstLineChars="20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上海市艾滋病研究中心是由上海市科委和上海市卫生局牵头，于2001年在上海市疾病预防控制中心成立（沪科[2001]第341号）。主要开展艾滋病相关的实验室检测、临床评估和应用性研究。实验室建有HIV抗体、核酸、基因型耐药、体外药物筛选、病毒分离、免疫细胞检测、细胞因子检测、梅毒抗体检测、淋球菌耐药检测等技术平台，建立了现场流行病学、血清流行病学、分子流行病学和行为学相结合的综合性研究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shd w:val="clear" w:color="auto" w:fill="FFFF00"/>
            <w:vAlign w:val="center"/>
          </w:tcPr>
          <w:p>
            <w:pPr>
              <w:pStyle w:val="5"/>
              <w:keepNext w:val="0"/>
              <w:keepLines w:val="0"/>
              <w:pageBreakBefore w:val="0"/>
              <w:widowControl/>
              <w:kinsoku/>
              <w:wordWrap w:val="0"/>
              <w:overflowPunct/>
              <w:topLinePunct w:val="0"/>
              <w:autoSpaceDE/>
              <w:autoSpaceDN/>
              <w:bidi w:val="0"/>
              <w:adjustRightInd/>
              <w:snapToGrid w:val="0"/>
              <w:spacing w:beforeAutospacing="0" w:afterAutospacing="0" w:line="240" w:lineRule="auto"/>
              <w:jc w:val="center"/>
              <w:textAlignment w:val="auto"/>
              <w:rPr>
                <w:rFonts w:hint="eastAsia" w:ascii="Times New Roman" w:hAnsi="Times New Roman" w:eastAsia="楷体" w:cs="楷体"/>
                <w:b/>
                <w:bCs/>
                <w:kern w:val="0"/>
                <w:sz w:val="22"/>
                <w:szCs w:val="22"/>
                <w:highlight w:val="yellow"/>
                <w:shd w:val="clear" w:color="auto" w:fill="FFFFFF"/>
                <w:vertAlign w:val="baseline"/>
                <w:lang w:val="en-US" w:eastAsia="zh-CN" w:bidi="ar-SA"/>
              </w:rPr>
            </w:pPr>
            <w:r>
              <w:rPr>
                <w:rFonts w:hint="eastAsia" w:ascii="Times New Roman" w:hAnsi="Times New Roman" w:eastAsia="楷体" w:cs="楷体"/>
                <w:b/>
                <w:bCs/>
                <w:kern w:val="0"/>
                <w:sz w:val="22"/>
                <w:szCs w:val="22"/>
                <w:highlight w:val="yellow"/>
                <w:shd w:val="clear" w:color="auto" w:fill="FFFFFF"/>
                <w:vertAlign w:val="baseline"/>
                <w:lang w:val="en-US" w:eastAsia="zh-CN" w:bidi="ar-SA"/>
              </w:rPr>
              <w:t>……</w:t>
            </w:r>
          </w:p>
        </w:tc>
        <w:tc>
          <w:tcPr>
            <w:tcW w:w="1756" w:type="dxa"/>
            <w:shd w:val="clear" w:color="auto" w:fill="FFFF00"/>
            <w:vAlign w:val="center"/>
          </w:tcPr>
          <w:p>
            <w:pPr>
              <w:pStyle w:val="5"/>
              <w:keepNext w:val="0"/>
              <w:keepLines w:val="0"/>
              <w:pageBreakBefore w:val="0"/>
              <w:widowControl/>
              <w:kinsoku/>
              <w:wordWrap w:val="0"/>
              <w:overflowPunct/>
              <w:topLinePunct w:val="0"/>
              <w:autoSpaceDE/>
              <w:autoSpaceDN/>
              <w:bidi w:val="0"/>
              <w:adjustRightInd/>
              <w:snapToGrid w:val="0"/>
              <w:spacing w:beforeAutospacing="0" w:afterAutospacing="0" w:line="240" w:lineRule="auto"/>
              <w:jc w:val="center"/>
              <w:textAlignment w:val="auto"/>
              <w:rPr>
                <w:rFonts w:hint="eastAsia" w:ascii="Times New Roman" w:hAnsi="Times New Roman" w:eastAsia="楷体" w:cs="楷体"/>
                <w:b/>
                <w:bCs/>
                <w:kern w:val="0"/>
                <w:sz w:val="22"/>
                <w:szCs w:val="22"/>
                <w:highlight w:val="yellow"/>
                <w:shd w:val="clear" w:color="auto" w:fill="FFFFFF"/>
                <w:lang w:val="en-US" w:eastAsia="zh-CN" w:bidi="ar-SA"/>
              </w:rPr>
            </w:pPr>
            <w:r>
              <w:rPr>
                <w:rFonts w:hint="eastAsia" w:ascii="Times New Roman" w:hAnsi="Times New Roman" w:eastAsia="楷体" w:cs="楷体"/>
                <w:b/>
                <w:bCs/>
                <w:kern w:val="0"/>
                <w:sz w:val="22"/>
                <w:szCs w:val="22"/>
                <w:highlight w:val="yellow"/>
                <w:shd w:val="clear" w:color="auto" w:fill="FFFFFF"/>
                <w:lang w:val="en-US" w:eastAsia="zh-CN" w:bidi="ar-SA"/>
              </w:rPr>
              <w:t>……</w:t>
            </w:r>
          </w:p>
        </w:tc>
        <w:tc>
          <w:tcPr>
            <w:tcW w:w="6016"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jc w:val="center"/>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：https://www.scdc.sh.cn/shjk/zdsys/20201119/1733.html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四、医疗价格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（一）服务价格</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default" w:ascii="Times New Roman" w:hAnsi="Times New Roman" w:eastAsia="方正仿宋_GBK" w:cs="Times New Roman"/>
          <w:b/>
          <w:bCs/>
          <w:kern w:val="0"/>
          <w:sz w:val="32"/>
          <w:szCs w:val="32"/>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服务项目价格表、药品、医用耗材价格等</w:t>
      </w:r>
      <w:r>
        <w:rPr>
          <w:rFonts w:ascii="Times New Roman" w:hAnsi="Times New Roman"/>
        </w:rPr>
        <w:commentReference w:id="0"/>
      </w:r>
    </w:p>
    <w:tbl>
      <w:tblPr>
        <w:tblStyle w:val="6"/>
        <w:tblW w:w="8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2050"/>
        <w:gridCol w:w="2050"/>
        <w:gridCol w:w="2050"/>
        <w:gridCol w:w="2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sz w:val="22"/>
                <w:szCs w:val="22"/>
                <w:u w:val="none"/>
                <w:lang w:val="en-US" w:eastAsia="zh-CN"/>
              </w:rPr>
            </w:pPr>
            <w:r>
              <w:rPr>
                <w:rFonts w:hint="eastAsia" w:ascii="Times New Roman" w:hAnsi="Times New Roman" w:eastAsia="楷体" w:cs="楷体"/>
                <w:b/>
                <w:bCs/>
                <w:i w:val="0"/>
                <w:iCs w:val="0"/>
                <w:color w:val="000000"/>
                <w:sz w:val="22"/>
                <w:szCs w:val="22"/>
                <w:u w:val="none"/>
                <w:lang w:val="en-US" w:eastAsia="zh-CN"/>
              </w:rPr>
              <w:t>序号</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2"/>
                <w:sz w:val="22"/>
                <w:szCs w:val="22"/>
                <w:u w:val="none"/>
                <w:lang w:val="en-US" w:eastAsia="zh-CN" w:bidi="ar-SA"/>
              </w:rPr>
            </w:pPr>
            <w:r>
              <w:rPr>
                <w:rFonts w:hint="eastAsia" w:ascii="Times New Roman" w:hAnsi="Times New Roman" w:eastAsia="楷体" w:cs="楷体"/>
                <w:b/>
                <w:bCs/>
                <w:i w:val="0"/>
                <w:iCs w:val="0"/>
                <w:color w:val="000000"/>
                <w:kern w:val="0"/>
                <w:sz w:val="22"/>
                <w:szCs w:val="22"/>
                <w:u w:val="none"/>
                <w:lang w:val="en-US" w:eastAsia="zh-CN" w:bidi="ar"/>
              </w:rPr>
              <w:t>服务项目</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2"/>
                <w:sz w:val="22"/>
                <w:szCs w:val="22"/>
                <w:u w:val="none"/>
                <w:lang w:val="en-US" w:eastAsia="zh-CN" w:bidi="ar-SA"/>
              </w:rPr>
            </w:pPr>
            <w:r>
              <w:rPr>
                <w:rFonts w:hint="eastAsia" w:ascii="Times New Roman" w:hAnsi="Times New Roman" w:eastAsia="楷体" w:cs="楷体"/>
                <w:b/>
                <w:bCs/>
                <w:i w:val="0"/>
                <w:iCs w:val="0"/>
                <w:color w:val="000000"/>
                <w:kern w:val="0"/>
                <w:sz w:val="22"/>
                <w:szCs w:val="22"/>
                <w:u w:val="none"/>
                <w:lang w:val="en-US" w:eastAsia="zh-CN" w:bidi="ar"/>
              </w:rPr>
              <w:t>收费标准</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b/>
                <w:bCs/>
                <w:i w:val="0"/>
                <w:iCs w:val="0"/>
                <w:color w:val="000000"/>
                <w:kern w:val="2"/>
                <w:sz w:val="22"/>
                <w:szCs w:val="22"/>
                <w:u w:val="none"/>
                <w:lang w:val="en-US" w:eastAsia="zh-CN" w:bidi="ar-SA"/>
              </w:rPr>
            </w:pPr>
            <w:r>
              <w:rPr>
                <w:rFonts w:hint="eastAsia" w:ascii="Times New Roman" w:hAnsi="Times New Roman" w:eastAsia="楷体" w:cs="楷体"/>
                <w:b/>
                <w:bCs/>
                <w:i w:val="0"/>
                <w:iCs w:val="0"/>
                <w:color w:val="000000"/>
                <w:kern w:val="0"/>
                <w:sz w:val="22"/>
                <w:szCs w:val="22"/>
                <w:u w:val="none"/>
                <w:lang w:val="en-US" w:eastAsia="zh-CN" w:bidi="ar"/>
              </w:rPr>
              <w:t>收费依据文件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sz w:val="22"/>
                <w:szCs w:val="22"/>
                <w:u w:val="none"/>
                <w:lang w:val="en-US" w:eastAsia="zh-CN"/>
              </w:rPr>
            </w:pPr>
            <w:r>
              <w:rPr>
                <w:rFonts w:hint="eastAsia" w:ascii="Times New Roman" w:hAnsi="Times New Roman" w:eastAsia="楷体" w:cs="楷体"/>
                <w:i w:val="0"/>
                <w:iCs w:val="0"/>
                <w:color w:val="000000"/>
                <w:sz w:val="22"/>
                <w:szCs w:val="22"/>
                <w:u w:val="none"/>
                <w:lang w:val="en-US" w:eastAsia="zh-CN"/>
              </w:rPr>
              <w:t>1</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2"/>
                <w:sz w:val="22"/>
                <w:szCs w:val="22"/>
                <w:u w:val="none"/>
                <w:lang w:val="en-US" w:eastAsia="zh-CN" w:bidi="ar-SA"/>
              </w:rPr>
            </w:pPr>
            <w:r>
              <w:rPr>
                <w:rFonts w:hint="eastAsia" w:ascii="Times New Roman" w:hAnsi="Times New Roman" w:eastAsia="楷体" w:cs="楷体"/>
                <w:i w:val="0"/>
                <w:iCs w:val="0"/>
                <w:color w:val="000000"/>
                <w:kern w:val="0"/>
                <w:sz w:val="22"/>
                <w:szCs w:val="22"/>
                <w:u w:val="none"/>
                <w:lang w:val="en-US" w:eastAsia="zh-CN" w:bidi="ar"/>
              </w:rPr>
              <w:t>非免疫规划疫苗储存运输费</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2"/>
                <w:sz w:val="22"/>
                <w:szCs w:val="22"/>
                <w:u w:val="none"/>
                <w:lang w:val="en-US" w:eastAsia="zh-CN" w:bidi="ar-SA"/>
              </w:rPr>
            </w:pPr>
            <w:r>
              <w:rPr>
                <w:rFonts w:hint="eastAsia" w:ascii="Times New Roman" w:hAnsi="Times New Roman" w:eastAsia="楷体" w:cs="楷体"/>
                <w:i w:val="0"/>
                <w:iCs w:val="0"/>
                <w:color w:val="000000"/>
                <w:kern w:val="0"/>
                <w:sz w:val="22"/>
                <w:szCs w:val="22"/>
                <w:u w:val="none"/>
                <w:lang w:val="en-US" w:eastAsia="zh-CN" w:bidi="ar"/>
              </w:rPr>
              <w:t>10元/支</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2"/>
                <w:sz w:val="22"/>
                <w:szCs w:val="22"/>
                <w:u w:val="none"/>
                <w:lang w:val="en-US" w:eastAsia="zh-CN" w:bidi="ar-SA"/>
              </w:rPr>
            </w:pPr>
            <w:r>
              <w:rPr>
                <w:rFonts w:hint="eastAsia" w:ascii="Times New Roman" w:hAnsi="Times New Roman" w:eastAsia="楷体" w:cs="楷体"/>
                <w:i w:val="0"/>
                <w:iCs w:val="0"/>
                <w:color w:val="000000"/>
                <w:kern w:val="0"/>
                <w:sz w:val="22"/>
                <w:szCs w:val="22"/>
                <w:u w:val="none"/>
                <w:lang w:val="en-US" w:eastAsia="zh-CN" w:bidi="ar"/>
              </w:rPr>
              <w:t>冀发改公价【2020】583号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p>
        </w:tc>
      </w:tr>
    </w:tbl>
    <w:p>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left="0" w:leftChars="0"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：http://www.cangxian.gov.cn/cangxian/ADD10174/202303/5eca3da2ee26400e88ed4214d021f9d0.shtml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五、环境导引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（一）交通导引</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3" w:firstLineChars="200"/>
        <w:textAlignment w:val="auto"/>
        <w:outlineLvl w:val="1"/>
        <w:rPr>
          <w:rFonts w:hint="default" w:ascii="Times New Roman" w:hAnsi="Times New Roman" w:eastAsia="楷体" w:cs="楷体"/>
          <w:b/>
          <w:bCs/>
          <w:kern w:val="0"/>
          <w:sz w:val="28"/>
          <w:szCs w:val="28"/>
          <w:highlight w:val="none"/>
          <w:shd w:val="clear" w:color="auto" w:fill="FFFFFF"/>
          <w:lang w:val="en-US" w:eastAsia="zh-CN" w:bidi="ar-SA"/>
        </w:rPr>
      </w:pPr>
      <w:r>
        <w:rPr>
          <w:rFonts w:hint="default" w:ascii="Times New Roman" w:hAnsi="Times New Roman" w:eastAsia="方正仿宋_GBK" w:cs="Times New Roman"/>
          <w:b/>
          <w:bCs/>
          <w:kern w:val="0"/>
          <w:sz w:val="32"/>
          <w:szCs w:val="32"/>
          <w:shd w:val="clear" w:color="auto" w:fill="FFFFFF"/>
          <w:lang w:val="en-US" w:eastAsia="zh-CN" w:bidi="ar-SA"/>
        </w:rPr>
        <w:t>1.</w:t>
      </w:r>
      <w:r>
        <w:rPr>
          <w:rFonts w:hint="eastAsia" w:ascii="Times New Roman" w:hAnsi="Times New Roman" w:eastAsia="方正仿宋_GBK" w:cs="方正仿宋_GBK"/>
          <w:b/>
          <w:bCs/>
          <w:kern w:val="0"/>
          <w:sz w:val="32"/>
          <w:szCs w:val="32"/>
          <w:shd w:val="clear" w:color="auto" w:fill="FFFFFF"/>
          <w:lang w:val="en-US" w:eastAsia="zh-CN" w:bidi="ar-SA"/>
        </w:rPr>
        <w:t>机构周边的公共交通线路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XXXX疾控中心：公交/地铁XXX路到XXX站下车</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（文字描述情况即可）或提供导航地图或者图示信息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http://www.dzcdc.cn/xxgk/view-2103-1.html</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2.车辆入口与出口指示、院内停车场、院内行车指引（线下公开）以及停车收费等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是否可停车；如可停车，其收费标准等信息可在线公开</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（二）内部导引</w:t>
      </w:r>
      <w:r>
        <w:rPr>
          <w:rFonts w:hint="default" w:ascii="Times New Roman" w:hAnsi="Times New Roman" w:eastAsia="方正楷体_GBK" w:cs="方正楷体_GBK"/>
          <w:kern w:val="0"/>
          <w:sz w:val="32"/>
          <w:szCs w:val="32"/>
          <w:shd w:val="clear" w:color="auto" w:fill="FFFFFF"/>
          <w:lang w:val="en-US" w:eastAsia="zh-CN" w:bidi="ar-SA"/>
        </w:rPr>
        <w:t>（</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方正仿宋_GBK"/>
          <w:b w:val="0"/>
          <w:bCs w:val="0"/>
          <w:kern w:val="0"/>
          <w:sz w:val="32"/>
          <w:szCs w:val="32"/>
          <w:shd w:val="clear" w:color="auto" w:fill="FFFFFF"/>
          <w:lang w:val="en-US" w:eastAsia="zh-CN" w:bidi="ar-SA"/>
        </w:rPr>
        <w:t>各科室(部门)的名称、位置及指引标识等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w:t>
      </w:r>
      <w:r>
        <w:rPr>
          <w:rFonts w:hint="eastAsia" w:ascii="Times New Roman" w:hAnsi="Times New Roman" w:eastAsia="方正楷体_GBK" w:cs="方正楷体_GBK"/>
          <w:kern w:val="0"/>
          <w:sz w:val="32"/>
          <w:szCs w:val="32"/>
          <w:shd w:val="clear" w:color="auto" w:fill="FFFFFF"/>
          <w:lang w:val="en-US" w:eastAsia="zh-CN" w:bidi="ar-SA"/>
        </w:rPr>
        <w:t>三</w:t>
      </w:r>
      <w:r>
        <w:rPr>
          <w:rFonts w:hint="default" w:ascii="Times New Roman" w:hAnsi="Times New Roman" w:eastAsia="方正楷体_GBK" w:cs="方正楷体_GBK"/>
          <w:kern w:val="0"/>
          <w:sz w:val="32"/>
          <w:szCs w:val="32"/>
          <w:shd w:val="clear" w:color="auto" w:fill="FFFFFF"/>
          <w:lang w:val="en-US" w:eastAsia="zh-CN" w:bidi="ar-SA"/>
        </w:rPr>
        <w:t>）安全警示（</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服务场所安全（防火、防盗、安检等）警示标识及危险提示标志等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方正楷体_GBK" w:cs="方正楷体_GBK"/>
          <w:kern w:val="0"/>
          <w:sz w:val="32"/>
          <w:szCs w:val="32"/>
          <w:shd w:val="clear" w:color="auto" w:fill="FFFFFF"/>
          <w:lang w:val="en-US" w:eastAsia="zh-CN" w:bidi="ar-SA"/>
        </w:rPr>
        <w:t>（</w:t>
      </w:r>
      <w:r>
        <w:rPr>
          <w:rFonts w:hint="eastAsia" w:ascii="Times New Roman" w:hAnsi="Times New Roman" w:eastAsia="方正楷体_GBK" w:cs="方正楷体_GBK"/>
          <w:kern w:val="0"/>
          <w:sz w:val="32"/>
          <w:szCs w:val="32"/>
          <w:shd w:val="clear" w:color="auto" w:fill="FFFFFF"/>
          <w:lang w:val="en-US" w:eastAsia="zh-CN" w:bidi="ar-SA"/>
        </w:rPr>
        <w:t>四</w:t>
      </w:r>
      <w:r>
        <w:rPr>
          <w:rFonts w:hint="default" w:ascii="Times New Roman" w:hAnsi="Times New Roman" w:eastAsia="方正楷体_GBK" w:cs="方正楷体_GBK"/>
          <w:kern w:val="0"/>
          <w:sz w:val="32"/>
          <w:szCs w:val="32"/>
          <w:shd w:val="clear" w:color="auto" w:fill="FFFFFF"/>
          <w:lang w:val="en-US" w:eastAsia="zh-CN" w:bidi="ar-SA"/>
        </w:rPr>
        <w:t>）应急指引（</w:t>
      </w:r>
      <w:r>
        <w:rPr>
          <w:rFonts w:hint="eastAsia" w:ascii="Times New Roman" w:hAnsi="Times New Roman" w:eastAsia="方正楷体_GBK" w:cs="方正楷体_GBK"/>
          <w:kern w:val="0"/>
          <w:sz w:val="32"/>
          <w:szCs w:val="32"/>
          <w:shd w:val="clear" w:color="auto" w:fill="FFFFFF"/>
          <w:lang w:val="en-US" w:eastAsia="zh-CN" w:bidi="ar-SA"/>
        </w:rPr>
        <w:t>线下公开</w:t>
      </w:r>
      <w:r>
        <w:rPr>
          <w:rFonts w:hint="default" w:ascii="Times New Roman" w:hAnsi="Times New Roman" w:eastAsia="方正楷体_GBK" w:cs="方正楷体_GBK"/>
          <w:kern w:val="0"/>
          <w:sz w:val="32"/>
          <w:szCs w:val="32"/>
          <w:shd w:val="clear" w:color="auto" w:fill="FFFFFF"/>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default" w:ascii="Times New Roman" w:hAnsi="Times New Roman" w:eastAsia="方正仿宋_GBK" w:cs="Times New Roman"/>
          <w:b w:val="0"/>
          <w:bCs w:val="0"/>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突发事件的应急疏散和安全通道路线、指引标牌、路线等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六、诊疗服务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（一）服务时间</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highlight w:val="none"/>
          <w:shd w:val="clear" w:color="auto" w:fill="FFFFFF"/>
          <w:lang w:val="en-US" w:eastAsia="zh-CN" w:bidi="ar-SA"/>
        </w:rPr>
      </w:pPr>
      <w:r>
        <w:rPr>
          <w:rFonts w:hint="eastAsia" w:ascii="Times New Roman" w:hAnsi="Times New Roman" w:eastAsia="方正仿宋_GBK" w:cs="Times New Roman"/>
          <w:b w:val="0"/>
          <w:bCs w:val="0"/>
          <w:kern w:val="0"/>
          <w:sz w:val="32"/>
          <w:szCs w:val="32"/>
          <w:highlight w:val="none"/>
          <w:shd w:val="clear" w:color="auto" w:fill="FFFFFF"/>
          <w:lang w:val="en-US" w:eastAsia="zh-CN" w:bidi="ar-SA"/>
        </w:rPr>
        <w:t>服务时间(含节假日)、服务流程、服务预约方式等</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疾控中心服务时间</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 xml:space="preserve">一、办公时间：周一至周五，上午8:00-12:00  下午2:30-5:30 </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二、医疗服务时间：</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1.皮肤科门诊：每日8：00~17：30（周六、周日正常开诊。如遇特殊情况停诊提前公告。）</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2.血防门诊、体检站：工作日8：00—11：45；14：30—17：30（周六、周日休息。）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3.美沙酮门诊：每日8：00—11：45；14：30—17：30（周六、周日安排人员值班。）</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4.预防接种门诊：</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⑴常规二类疫苗：工作日8：00~12：00；14：30—17：30；</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⑵狂犬病暴露应急处置：每日8：00—21：30；21：30至次日8：00，电话值班。</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儿童PPD检测：每周二8：00—11：45，节假日顺延……</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参考链接：https://www.tl.gov.cn/openness/OpennessContent/show/929540.html</w:t>
      </w:r>
    </w:p>
    <w:p>
      <w:pPr>
        <w:keepNext w:val="0"/>
        <w:keepLines w:val="0"/>
        <w:pageBreakBefore w:val="0"/>
        <w:widowControl w:val="0"/>
        <w:numPr>
          <w:ilvl w:val="0"/>
          <w:numId w:val="1"/>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服务项目</w:t>
      </w:r>
    </w:p>
    <w:p>
      <w:pPr>
        <w:keepNext w:val="0"/>
        <w:keepLines w:val="0"/>
        <w:pageBreakBefore w:val="0"/>
        <w:widowControl w:val="0"/>
        <w:numPr>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所承担的政府委托公共服务项目及为社会提供的其他服务内容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一、职业卫生、公共卫生监测服务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01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服务项目：生活饮用水卫生检测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服务内容：提供生活饮用水（水源水、出厂水、末梢水、现制现售水）检测服务。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服务科室：环境监测评价科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联系电话：0538-3307***</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02</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服务项目：食品、农产品检测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服务内容：提供食品、农产品检测服务。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服务科室：食品安全科</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联系电话：0538-3307***</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default"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t>http://www.feicheng.gov.cn/art/2023/7/14/art_327745_10333356.html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（三）免费治疗</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国家对特殊公共卫生疾病免费治疗的相关规定等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1.对农村居民和城镇未参加基本医疗保险等保障制度的经济困难人员中的艾滋病病人提供免费提供抗病毒治疗药物；</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2.实施免费自愿咨询检测；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3.对艾滋病患者的孤儿实行免费上学；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4.对艾滋病综合防治示范区的孕妇实施免费艾滋病咨询、筛查和抗病毒药物治疗，减少母婴传播；</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5.将生活困难的艾滋病患者纳入政府救助范围，按国家有关规定给与必要的生活救济，并积极扶持有生产能力的艾滋病患者参加生产活动……</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参考链接：http://www.laoling.gov.cn/n52006128/n52006630/n74030603/n74031498/n74043936/c74382787/content.html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（四）预防接种</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接种单位的地点、服务时间、疫苗种类及生产企业等</w:t>
      </w:r>
      <w:r>
        <w:rPr>
          <w:rFonts w:ascii="Times New Roman" w:hAnsi="Times New Roman"/>
        </w:rPr>
        <w:commentReference w:id="1"/>
      </w:r>
    </w:p>
    <w:tbl>
      <w:tblPr>
        <w:tblStyle w:val="6"/>
        <w:tblW w:w="8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Layout w:type="autofit"/>
        <w:tblCellMar>
          <w:top w:w="0" w:type="dxa"/>
          <w:left w:w="108" w:type="dxa"/>
          <w:bottom w:w="0" w:type="dxa"/>
          <w:right w:w="108" w:type="dxa"/>
        </w:tblCellMar>
      </w:tblPr>
      <w:tblGrid>
        <w:gridCol w:w="2050"/>
        <w:gridCol w:w="2050"/>
        <w:gridCol w:w="2050"/>
        <w:gridCol w:w="2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接种点地点</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服务时间</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疫苗种类</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default" w:ascii="Times New Roman" w:hAnsi="Times New Roman" w:eastAsia="楷体" w:cs="楷体"/>
                <w:b/>
                <w:bCs/>
                <w:i w:val="0"/>
                <w:iCs w:val="0"/>
                <w:color w:val="000000"/>
                <w:kern w:val="0"/>
                <w:sz w:val="22"/>
                <w:szCs w:val="22"/>
                <w:u w:val="none"/>
                <w:lang w:val="en-US" w:eastAsia="zh-CN" w:bidi="ar"/>
              </w:rPr>
            </w:pPr>
            <w:r>
              <w:rPr>
                <w:rFonts w:hint="eastAsia" w:ascii="Times New Roman" w:hAnsi="Times New Roman" w:eastAsia="楷体" w:cs="楷体"/>
                <w:b/>
                <w:bCs/>
                <w:i w:val="0"/>
                <w:iCs w:val="0"/>
                <w:color w:val="000000"/>
                <w:kern w:val="0"/>
                <w:sz w:val="22"/>
                <w:szCs w:val="22"/>
                <w:u w:val="none"/>
                <w:lang w:val="en-US" w:eastAsia="zh-CN" w:bidi="ar"/>
              </w:rPr>
              <w:t>生产企业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left"/>
              <w:textAlignment w:val="auto"/>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XXX市XXX路XXX号</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left"/>
              <w:textAlignment w:val="auto"/>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周一至周六上午8:00-12:00，下午14:00-17:00(节假日休息)</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left"/>
              <w:textAlignment w:val="auto"/>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1.卡介苗</w:t>
            </w:r>
          </w:p>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left"/>
              <w:textAlignment w:val="auto"/>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2.HPV疫苗</w:t>
            </w:r>
          </w:p>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left"/>
              <w:textAlignment w:val="auto"/>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3.新冠疫苗</w:t>
            </w:r>
          </w:p>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4.狂犬疫苗</w:t>
            </w:r>
          </w:p>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left"/>
              <w:textAlignment w:val="auto"/>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pageBreakBefore w:val="0"/>
              <w:widowControl w:val="0"/>
              <w:kinsoku/>
              <w:wordWrap w:val="0"/>
              <w:overflowPunct/>
              <w:topLinePunct w:val="0"/>
              <w:autoSpaceDE/>
              <w:autoSpaceDN/>
              <w:bidi w:val="0"/>
              <w:adjustRightInd/>
              <w:snapToGrid/>
              <w:spacing w:line="240" w:lineRule="auto"/>
              <w:ind w:firstLine="0" w:firstLineChars="0"/>
              <w:jc w:val="left"/>
              <w:textAlignment w:val="auto"/>
              <w:rPr>
                <w:rFonts w:hint="default"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00"/>
          <w:tblCellMar>
            <w:top w:w="0" w:type="dxa"/>
            <w:left w:w="108" w:type="dxa"/>
            <w:bottom w:w="0" w:type="dxa"/>
            <w:right w:w="108" w:type="dxa"/>
          </w:tblCellMar>
        </w:tblPrEx>
        <w:trPr>
          <w:trHeight w:val="500" w:hRule="atLeast"/>
          <w:jc w:val="center"/>
        </w:trPr>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c>
          <w:tcPr>
            <w:tcW w:w="2050" w:type="dxa"/>
            <w:tcBorders>
              <w:top w:val="single" w:color="000000" w:sz="4" w:space="0"/>
              <w:left w:val="single" w:color="000000" w:sz="4" w:space="0"/>
              <w:bottom w:val="single" w:color="000000" w:sz="4" w:space="0"/>
              <w:right w:val="single" w:color="000000" w:sz="4" w:space="0"/>
            </w:tcBorders>
            <w:shd w:val="clear" w:color="auto" w:fill="FFFF00"/>
            <w:vAlign w:val="center"/>
          </w:tcPr>
          <w:p>
            <w:pPr>
              <w:keepNext w:val="0"/>
              <w:keepLines w:val="0"/>
              <w:widowControl/>
              <w:suppressLineNumbers w:val="0"/>
              <w:snapToGrid w:val="0"/>
              <w:jc w:val="center"/>
              <w:textAlignment w:val="center"/>
              <w:rPr>
                <w:rFonts w:hint="eastAsia" w:ascii="Times New Roman" w:hAnsi="Times New Roman" w:eastAsia="楷体" w:cs="楷体"/>
                <w:i w:val="0"/>
                <w:iCs w:val="0"/>
                <w:color w:val="000000"/>
                <w:kern w:val="0"/>
                <w:sz w:val="22"/>
                <w:szCs w:val="22"/>
                <w:u w:val="none"/>
                <w:lang w:val="en-US" w:eastAsia="zh-CN" w:bidi="ar"/>
              </w:rPr>
            </w:pPr>
            <w:r>
              <w:rPr>
                <w:rFonts w:hint="eastAsia" w:ascii="Times New Roman" w:hAnsi="Times New Roman" w:eastAsia="楷体" w:cs="楷体"/>
                <w:i w:val="0"/>
                <w:iCs w:val="0"/>
                <w:color w:val="000000"/>
                <w:kern w:val="0"/>
                <w:sz w:val="22"/>
                <w:szCs w:val="22"/>
                <w:u w:val="none"/>
                <w:lang w:val="en-US" w:eastAsia="zh-CN" w:bidi="ar"/>
              </w:rPr>
              <w:t>......</w:t>
            </w:r>
          </w:p>
        </w:tc>
      </w:tr>
    </w:tbl>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b/>
          <w:bCs/>
          <w:kern w:val="0"/>
          <w:sz w:val="28"/>
          <w:szCs w:val="28"/>
          <w:highlight w:val="none"/>
          <w:shd w:val="clear" w:color="auto" w:fill="FFFFFF"/>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参考链接：http://www.cscdc.org.cn/p/yfjz</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（五）传染病防控</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传染病疫情预防、处置相关信息内容等</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jc w:val="center"/>
        <w:textAlignment w:val="auto"/>
        <w:outlineLvl w:val="1"/>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沂水县疾控中心开展食源性疾病事件应急演练</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为全面提高全县食品安全事故应急处置实战能力，6月6日，沂水县疾控中心组织开展了一起食源性疾病事件应急处置桌面推演。县疾控中心副主任赵文兵、王萍萍、程英祥同志担任此次演练的评委，中心机关党委委员、首席专家王延辉同志担任总指挥。</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此次应急演练模拟的是沂水县某建筑公司一起食源性疾病事件，共设6个场景，从事件发现和报告、现场调查和处置、实验室检验、应急响应、网络直报、结果评估和善后处理等程序中，综合提出15个问题，分别进行现场提问、解答和分析。同时，中心检验科科长武晓丽对食源性疾病事件的食物、生物标本采集过程进行了……</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参考链接：http://www.yishui.gov.cn/info/122718/362131.htm</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（六）健康危害因素</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健康危害因素的监测与防控，环境危害因素监测资质、内容与办法,营养监测与营养改善、学生常见病和相关危害因素控制等的相关信息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b/>
          <w:bCs/>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危害健康因素监测防控内容</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（一）呼吸道传染病</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初春时节，天气变化多端，因新感染源的介入、易感人群聚集等原因，将增加呼吸道疾病的传播风险，常见的疾病包括流行性感冒、流行性腮腺炎、水痘、麻疹、风疹、猩红热等。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健康提示</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（1）对有疫苗预防的传染病如流感、麻疹、水痘、流腮等，按相关接种要求及时和全程接种疫苗。</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2）注意个人卫生，保持良好的呼吸道卫生习惯。使用肥皂或洗手液并用流动水洗手，饭前便后及接触脏东西后要洗手，勤换、勤洗、勤晒衣服和被褥；咳嗽或打喷嚏时，用纸巾、毛巾遮掩口鼻，若双手接触了呼吸道分泌物应立即洗手，避免脏手接触口、眼、鼻。</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（3）每天定时开窗通风数次，保持室内空气新鲜。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（4）尽量避免接触活禽、病死禽或其粪便；外出游玩时，避免直接接触动物尤其不要过度亲近野生鸟类；尽量不去禽类屠宰市场，不要自行宰杀活禽。</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（5）流行高峰期应避免去人群密集场所，如出现相关症状应及时就医，并减少接触他人，尽量居家休息。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default" w:ascii="Times New Roman" w:hAnsi="Times New Roman" w:eastAsia="楷体" w:cs="楷体"/>
          <w:b w:val="0"/>
          <w:bCs w:val="0"/>
          <w:kern w:val="0"/>
          <w:sz w:val="28"/>
          <w:szCs w:val="28"/>
          <w:highlight w:val="yellow"/>
          <w:shd w:val="clear" w:color="auto" w:fill="FFFFFF"/>
          <w:lang w:val="en-US" w:eastAsia="zh-CN" w:bidi="ar-SA"/>
        </w:rPr>
        <w:t>（6）学校及幼托机构应加强晨午检，及时发现和隔离病人，着重防范呼吸道聚集性病例或暴发疫情</w:t>
      </w: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default" w:ascii="Times New Roman" w:hAnsi="Times New Roman" w:eastAsia="宋体" w:cs="Times New Roman"/>
          <w:kern w:val="0"/>
          <w:sz w:val="28"/>
          <w:szCs w:val="28"/>
          <w:highlight w:val="none"/>
          <w:lang w:val="en-US" w:eastAsia="zh-CN" w:bidi="ar"/>
        </w:rPr>
        <w:t>https://www.yantai.gov.cn/art/2023/5/17/art_80827_3141149.html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（七）突发公共卫生事件</w:t>
      </w:r>
    </w:p>
    <w:p>
      <w:pPr>
        <w:keepNext w:val="0"/>
        <w:keepLines w:val="0"/>
        <w:pageBreakBefore w:val="0"/>
        <w:widowControl w:val="0"/>
        <w:numPr>
          <w:ilvl w:val="0"/>
          <w:numId w:val="0"/>
        </w:numPr>
        <w:shd w:val="clear"/>
        <w:tabs>
          <w:tab w:val="left" w:pos="614"/>
        </w:tabs>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突发公共卫生事件的报告受理途径及联系方式</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Times New Roman"/>
          <w:b/>
          <w:bCs/>
          <w:kern w:val="0"/>
          <w:sz w:val="28"/>
          <w:szCs w:val="28"/>
          <w:highlight w:val="yellow"/>
          <w:shd w:val="clear" w:color="auto" w:fill="FFFFFF"/>
          <w:lang w:val="en-US" w:eastAsia="zh-CN" w:bidi="ar-SA"/>
        </w:rPr>
      </w:pPr>
      <w:r>
        <w:rPr>
          <w:rFonts w:hint="eastAsia" w:ascii="Times New Roman" w:hAnsi="Times New Roman" w:eastAsia="楷体" w:cs="Times New Roman"/>
          <w:b/>
          <w:bCs/>
          <w:kern w:val="0"/>
          <w:sz w:val="28"/>
          <w:szCs w:val="28"/>
          <w:highlight w:val="yellow"/>
          <w:shd w:val="clear" w:color="auto" w:fill="FFFFFF"/>
          <w:lang w:val="en-US" w:eastAsia="zh-CN" w:bidi="ar-SA"/>
        </w:rPr>
        <w:t>**县疾病预防控制中心突发公共卫生事件的报告</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Times New Roman"/>
          <w:b/>
          <w:bCs/>
          <w:kern w:val="0"/>
          <w:sz w:val="28"/>
          <w:szCs w:val="28"/>
          <w:highlight w:val="yellow"/>
          <w:shd w:val="clear" w:color="auto" w:fill="FFFFFF"/>
          <w:lang w:val="en-US" w:eastAsia="zh-CN" w:bidi="ar-SA"/>
        </w:rPr>
      </w:pPr>
      <w:r>
        <w:rPr>
          <w:rFonts w:hint="eastAsia" w:ascii="Times New Roman" w:hAnsi="Times New Roman" w:eastAsia="楷体" w:cs="Times New Roman"/>
          <w:b/>
          <w:bCs/>
          <w:kern w:val="0"/>
          <w:sz w:val="28"/>
          <w:szCs w:val="28"/>
          <w:highlight w:val="yellow"/>
          <w:shd w:val="clear" w:color="auto" w:fill="FFFFFF"/>
          <w:lang w:val="en-US" w:eastAsia="zh-CN" w:bidi="ar-SA"/>
        </w:rPr>
        <w:t>受理途径及联系方式</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一、报告受理途径</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1.责任报告单位和责任报告人。县疾控中心为突发公共卫生事件责任报告单位，疾控中心所有工作人员为责任报告人。</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2.报告时限和程序。责任报告人接到或发现突发公共卫生事件时，应详细询问、记录事件性质、危害程度及范围，发生事件的时间、地点，病人的症状、体征，有否死亡，事件信息来源及报告人联系方式等基础资料，并立即报告值班领导；值班领导接到报告后立即报告疾控中心突发公共卫生事件应急处理领导小组组长，领导小组组长接到报告后立即向县卫生局领导报告，请示领导将启动庆云县疾病预防控制中心《突发公共卫生事件应急处理预案》，应急办主任负责联络应急机动队员，立即赶赴现场进行应急处理。</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3.突发公共卫生事件网络直报。接到县直医疗机构和乡镇卫生院专报系统报告信息后，应及时审核信息、确保信息的准确性，并统计汇总分析，按照有关规定报告县卫生局。根据县委政府规定,全县突发公共卫生事件向上级报告前必须经县委政府同意后才能上报.</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4.突发公共事件网络直报报告内容。突发公共卫生事件报告分首次报告、进程报告和结案报告，要根据事件的严重程度、事态发展和控制情况及时报告事件进程。首次报告未经调查确认的突发公共卫生事件或存在隐患的相关信息，应说明信息来源、危害范围、事件性质的初步判定和拟采取的主要措施。经调查确认的突发公共卫生事件报告应包括事件性质、波及范围、危害程度、流行病学分布、事态评估、控制措施等内容。</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二、联系方式</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办公地点：</w:t>
      </w:r>
      <w:r>
        <w:rPr>
          <w:rFonts w:hint="eastAsia" w:ascii="Times New Roman" w:hAnsi="Times New Roman" w:eastAsia="楷体" w:cs="Times New Roman"/>
          <w:b/>
          <w:bCs/>
          <w:kern w:val="0"/>
          <w:sz w:val="28"/>
          <w:szCs w:val="28"/>
          <w:highlight w:val="yellow"/>
          <w:shd w:val="clear" w:color="auto" w:fill="FFFFFF"/>
          <w:lang w:val="en-US" w:eastAsia="zh-CN" w:bidi="ar-SA"/>
        </w:rPr>
        <w:t>**</w:t>
      </w:r>
      <w:r>
        <w:rPr>
          <w:rFonts w:hint="eastAsia" w:ascii="Times New Roman" w:hAnsi="Times New Roman" w:eastAsia="楷体" w:cs="Times New Roman"/>
          <w:kern w:val="0"/>
          <w:sz w:val="28"/>
          <w:szCs w:val="28"/>
          <w:highlight w:val="yellow"/>
          <w:shd w:val="clear" w:color="auto" w:fill="FFFFFF"/>
          <w:lang w:val="en-US" w:eastAsia="zh-CN" w:bidi="ar-SA"/>
        </w:rPr>
        <w:t>县创业大道以西，金山路以北。</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联系电话：0534-7085</w:t>
      </w:r>
      <w:r>
        <w:rPr>
          <w:rFonts w:hint="eastAsia" w:ascii="Times New Roman" w:hAnsi="Times New Roman" w:eastAsia="楷体" w:cs="Times New Roman"/>
          <w:b/>
          <w:bCs/>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电子邮箱：</w:t>
      </w:r>
      <w:r>
        <w:rPr>
          <w:rFonts w:hint="eastAsia" w:ascii="Times New Roman" w:hAnsi="Times New Roman" w:eastAsia="楷体" w:cs="Times New Roman"/>
          <w:kern w:val="0"/>
          <w:sz w:val="28"/>
          <w:szCs w:val="28"/>
          <w:highlight w:val="yellow"/>
          <w:shd w:val="clear" w:color="auto" w:fill="FFFFFF"/>
          <w:lang w:val="en-US" w:eastAsia="zh-CN" w:bidi="ar-SA"/>
        </w:rPr>
        <w:fldChar w:fldCharType="begin"/>
      </w:r>
      <w:r>
        <w:rPr>
          <w:rFonts w:hint="eastAsia" w:ascii="Times New Roman" w:hAnsi="Times New Roman" w:eastAsia="楷体" w:cs="Times New Roman"/>
          <w:kern w:val="0"/>
          <w:sz w:val="28"/>
          <w:szCs w:val="28"/>
          <w:highlight w:val="yellow"/>
          <w:shd w:val="clear" w:color="auto" w:fill="FFFFFF"/>
          <w:lang w:val="en-US" w:eastAsia="zh-CN" w:bidi="ar-SA"/>
        </w:rPr>
        <w:instrText xml:space="preserve"> HYPERLINK "mailto:qyjbyfbgshi@dz.shandong.cn" </w:instrText>
      </w:r>
      <w:r>
        <w:rPr>
          <w:rFonts w:hint="eastAsia" w:ascii="Times New Roman" w:hAnsi="Times New Roman" w:eastAsia="楷体" w:cs="Times New Roman"/>
          <w:kern w:val="0"/>
          <w:sz w:val="28"/>
          <w:szCs w:val="28"/>
          <w:highlight w:val="yellow"/>
          <w:shd w:val="clear" w:color="auto" w:fill="FFFFFF"/>
          <w:lang w:val="en-US" w:eastAsia="zh-CN" w:bidi="ar-SA"/>
        </w:rPr>
        <w:fldChar w:fldCharType="separate"/>
      </w:r>
      <w:r>
        <w:rPr>
          <w:rStyle w:val="11"/>
          <w:rFonts w:hint="eastAsia" w:ascii="Times New Roman" w:hAnsi="Times New Roman" w:eastAsia="楷体" w:cs="Times New Roman"/>
          <w:kern w:val="0"/>
          <w:sz w:val="28"/>
          <w:szCs w:val="28"/>
          <w:highlight w:val="yellow"/>
          <w:shd w:val="clear" w:color="auto" w:fill="FFFFFF"/>
          <w:lang w:val="en-US" w:eastAsia="zh-CN" w:bidi="ar-SA"/>
        </w:rPr>
        <w:t>qyjbyfbgshi@dz.shandong.cn</w:t>
      </w:r>
      <w:r>
        <w:rPr>
          <w:rFonts w:hint="eastAsia" w:ascii="Times New Roman" w:hAnsi="Times New Roman" w:eastAsia="楷体" w:cs="Times New Roman"/>
          <w:kern w:val="0"/>
          <w:sz w:val="28"/>
          <w:szCs w:val="28"/>
          <w:highlight w:val="yellow"/>
          <w:shd w:val="clear" w:color="auto" w:fill="FFFFFF"/>
          <w:lang w:val="en-US" w:eastAsia="zh-CN" w:bidi="ar-SA"/>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Times New Roman"/>
          <w:kern w:val="0"/>
          <w:sz w:val="28"/>
          <w:szCs w:val="28"/>
          <w:highlight w:val="yellow"/>
          <w:shd w:val="clear" w:color="auto" w:fill="FFFFFF"/>
          <w:lang w:val="en-US" w:eastAsia="zh-CN" w:bidi="ar-SA"/>
        </w:rPr>
      </w:pPr>
      <w:r>
        <w:rPr>
          <w:rFonts w:hint="eastAsia" w:ascii="Times New Roman" w:hAnsi="Times New Roman" w:eastAsia="楷体" w:cs="Times New Roman"/>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参考链接：http://www.qingyun.gov.cn/n30398511/n37910774/n37916240/n38021920/n74066442/n74152452/n74153445/c74428736/content.html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七、行风投诉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（一）招标采购</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执行政府采购依法应当公开的相关信息</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一、项目名称：</w:t>
      </w:r>
      <w:r>
        <w:rPr>
          <w:rFonts w:hint="eastAsia" w:ascii="Times New Roman" w:hAnsi="Times New Roman" w:eastAsia="楷体" w:cs="Times New Roman"/>
          <w:b/>
          <w:bCs/>
          <w:kern w:val="0"/>
          <w:sz w:val="28"/>
          <w:szCs w:val="28"/>
          <w:highlight w:val="yellow"/>
          <w:shd w:val="clear" w:color="auto" w:fill="FFFFFF"/>
          <w:lang w:val="en-US" w:eastAsia="zh-CN" w:bidi="ar-SA"/>
        </w:rPr>
        <w:t>**</w:t>
      </w:r>
      <w:r>
        <w:rPr>
          <w:rFonts w:hint="eastAsia" w:ascii="Times New Roman" w:hAnsi="Times New Roman" w:eastAsia="楷体" w:cs="楷体"/>
          <w:kern w:val="0"/>
          <w:sz w:val="28"/>
          <w:szCs w:val="28"/>
          <w:highlight w:val="yellow"/>
          <w:shd w:val="clear" w:color="auto" w:fill="FFFFFF"/>
          <w:lang w:val="en-US" w:eastAsia="zh-CN" w:bidi="ar-SA"/>
        </w:rPr>
        <w:t>市急救中心急救教学视频制作项目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二、项目编号：QDJJ-PX202301</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参考链接：https://www.qingdao120.org/news/2633.cshtml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（二）行风建设</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行风建设及廉洁自律相关规定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医疗机构工作人员廉洁从业九项准则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合法按劳取酬，不接受商业提成。依法依规按劳取酬。严禁利用执业之便开单提成；严禁以商业目的进行统方；除就诊医院所在医联体的其他医疗机构，和被纳入医保“双通道”管理的定点零售药店外，严禁安排患者到其他指定地点购买医药耗材等产品；严禁向患者推销商品或服务并从中谋取私利；严禁接受互联网企业与开处方配药有关的费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"http://www.fjpt120.com/hfpy/20221118/084113.aspx"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http://www.fjpt120.com/hfpy/20221118/084113.aspx</w:t>
      </w:r>
      <w:r>
        <w:rPr>
          <w:rStyle w:val="11"/>
          <w:rFonts w:hint="eastAsia" w:ascii="Times New Roman" w:hAnsi="Times New Roman" w:eastAsia="宋体" w:cs="Times New Roman"/>
          <w:kern w:val="0"/>
          <w:sz w:val="28"/>
          <w:szCs w:val="28"/>
          <w:highlight w:val="none"/>
          <w:lang w:val="en-US" w:eastAsia="zh-CN" w:bidi="ar"/>
        </w:rPr>
        <w:fldChar w:fldCharType="end"/>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Fonts w:hint="default" w:ascii="楷体" w:hAnsi="楷体" w:eastAsia="楷体" w:cs="楷体"/>
          <w:b w:val="0"/>
          <w:bCs w:val="0"/>
          <w:kern w:val="0"/>
          <w:sz w:val="28"/>
          <w:szCs w:val="28"/>
          <w:shd w:val="clear" w:color="auto" w:fill="FFFFFF"/>
          <w:lang w:val="en-US" w:eastAsia="zh-CN" w:bidi="ar-SA"/>
        </w:rPr>
      </w:pPr>
      <w:r>
        <w:rPr>
          <w:rFonts w:hint="eastAsia" w:ascii="楷体" w:hAnsi="楷体" w:eastAsia="楷体" w:cs="楷体"/>
          <w:b w:val="0"/>
          <w:bCs w:val="0"/>
          <w:kern w:val="0"/>
          <w:sz w:val="28"/>
          <w:szCs w:val="28"/>
          <w:shd w:val="clear" w:color="auto" w:fill="FFFFFF"/>
          <w:lang w:val="en-US" w:eastAsia="zh-CN" w:bidi="ar-SA"/>
        </w:rPr>
        <w:t>注：请参考文件《关于印发医疗机构工作人员廉洁从业九项准则的通知》（国卫医发〔2021〕37号）（访问链接：http://www.nhc.gov.cn/yzygj/hfdt/202111/d306e6f6b6ab42bda4e0fb88b2514ea0.shtml）设置</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（三）投诉途径</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接待投诉部门的电话、信箱等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现场投诉：临沂市北城新区北京路3号临沂市疾病预防控制中心12楼1204室</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政务热线：拨打12345</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公众号留言：微信搜索“临沂疾控”</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意见箱：sjkbgs@ly.shandong.cn</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投诉电话：0539-8314***</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网站留言：……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参考链接：http://lycdc.linyi.cn/info/1259/13313.htm</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（四）纠纷处理</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kern w:val="0"/>
          <w:sz w:val="32"/>
          <w:szCs w:val="32"/>
          <w:shd w:val="clear" w:color="auto" w:fill="FFFFFF"/>
          <w:lang w:val="en-US" w:eastAsia="zh-CN" w:bidi="ar-SA"/>
        </w:rPr>
      </w:pPr>
      <w:r>
        <w:rPr>
          <w:rFonts w:hint="eastAsia" w:ascii="Times New Roman" w:hAnsi="Times New Roman" w:eastAsia="方正仿宋_GBK" w:cs="Times New Roman"/>
          <w:kern w:val="0"/>
          <w:sz w:val="32"/>
          <w:szCs w:val="32"/>
          <w:shd w:val="clear" w:color="auto" w:fill="FFFFFF"/>
          <w:lang w:val="en-US" w:eastAsia="zh-CN" w:bidi="ar-SA"/>
        </w:rPr>
        <w:t>纠纷处理的程序和相关职能部门电话、地点等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一、严格按照《医疗事故处理条例》及我中心有关规定， 规定以稳定大局，减少单位负面影响为原则，对纠纷问题进行立刻及时的处理。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二、接待部门必须做到公正、公平、公开，注意接待方 法，耐心解释，避免激化矛盾。</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三、接待部门对所反映的问题，应做细致的调查研究， 各科室及当事人应密切配合，及时将调查情况向相关领导汇报。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四、有书面投诉材料者原则上应在 7 日内予以书面答复，特殊情况不超过 15 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五、对每起投诉的处理应如实记录，并保存。</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六、根据投诉对象、内容，相关职能部门应积极给予解释及处理。</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七、建立服务纠纷投诉的登记、讨论和处理记录本，每月汇总一次。对于投诉的问题和纠纷的内容进行认真的讨论，总结经验和教训。</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八、对于不能按时规定接待和处理服务投诉的科室及人员，对于存在违反有关规定的科室及人员将给予批评、通报批评、经济处罚、行政处罚等。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九、服务纠纷处理小组由中心分管领导和办公室人员组成。</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十、当事人实行不回避制度，以增强处理透明度，保护 中心、服务对象及当事人的合法权益。</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十一、中心领导把握服务纠纷处理的全过程，并给予指导性意见，必要时亲临现场处理，其余各部门及相关人员必须服从服务纠纷处理小组的调度。</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十二、坚持严格工作责任制。及时排查纠纷问题，对应该排查出的问题没有发现，或发现了没有及时解决而造成群体性事件、重大上访事件的，不论什么时候出了问题，都要实行责任倒查，严肃追究科室负责人的责任。</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十三、办公时间：08:30—12:00  14:30—18:00（工作日）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地址：**县城东环路与308国道交汇处</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联系电话：0534-21**662......</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参考链接：http://www.xiajin.gov.cn/n31121413/n44484126/n44486570/n44489916/n59305241/n74218951/c75530766/content.html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黑体_GBK" w:cs="方正黑体_GBK"/>
          <w:color w:val="000000" w:themeColor="text1"/>
          <w:kern w:val="0"/>
          <w:sz w:val="32"/>
          <w:szCs w:val="32"/>
          <w:shd w:val="clear" w:color="auto" w:fill="FFFFFF"/>
          <w:lang w:val="en-US" w:eastAsia="zh-CN" w:bidi="ar-SA"/>
          <w14:textFill>
            <w14:solidFill>
              <w14:schemeClr w14:val="tx1"/>
            </w14:solidFill>
          </w14:textFill>
        </w:rPr>
        <w:t>八、科普健教</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（一）健康科普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640" w:firstLineChars="200"/>
        <w:jc w:val="both"/>
        <w:textAlignment w:val="auto"/>
        <w:outlineLvl w:val="9"/>
        <w:rPr>
          <w:rFonts w:hint="eastAsia" w:ascii="Times New Roman" w:hAnsi="Times New Roman" w:eastAsia="方正仿宋_GBK" w:cs="Times New Roman"/>
          <w:b w:val="0"/>
          <w:bCs w:val="0"/>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依据工作职责提供的科普知识、专项传染病防控知识、预防免疫相关政策知识等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新冠病毒XBB.1.16变异株知多少？</w:t>
      </w:r>
      <w:r>
        <w:rPr>
          <w:rFonts w:ascii="Times New Roman" w:hAnsi="Times New Roman"/>
        </w:rPr>
        <w:commentReference w:id="2"/>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1.什么是XBB.1.16变异株?</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XBB.1.16是新冠病毒奥密克戎重组毒株的一种，属于XBB家族，民间取名“大角星(Arcturus)”。它是目前全球正在流行的600多种变异株之一，也是137种XBB亚分支之一。XBB.1.16于2023年1月首次被发现，随后在印度、美国、新加坡和澳大利亚等国家或地区流行，2023年3月5日被正式命名。XBB.1.16的S蛋白上的新增突变位点，使其比父代XBB.1更容易传播，目免疫逃逸能力与XBB.1.5相当。鉴于XBB.1.16相对于其他变异株的增长优势世界卫生组织于3月22日指定其为监测变异株。</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参考链接：https://www.ahcdc.cn/content/channel/5a65ae7fe1ff8c7007000f2e/</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（二）健康教育</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Times New Roman"/>
          <w:b/>
          <w:bCs/>
          <w:kern w:val="0"/>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shd w:val="clear" w:color="auto" w:fill="FFFFFF"/>
          <w:lang w:val="en-US" w:eastAsia="zh-CN" w:bidi="ar-SA"/>
        </w:rPr>
        <w:t>开展相关健康教育活动的时间、内容、地点等</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right="0" w:rightChars="0"/>
        <w:jc w:val="center"/>
        <w:textAlignment w:val="auto"/>
        <w:outlineLvl w:val="0"/>
        <w:rPr>
          <w:rFonts w:hint="default" w:ascii="Times New Roman" w:hAnsi="Times New Roman" w:eastAsia="方正楷体_GBK" w:cs="方正楷体_GBK"/>
          <w:kern w:val="0"/>
          <w:sz w:val="32"/>
          <w:szCs w:val="32"/>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第十三个</w:t>
      </w:r>
      <w:r>
        <w:rPr>
          <w:rFonts w:hint="eastAsia" w:ascii="Times New Roman" w:hAnsi="Times New Roman" w:eastAsia="楷体" w:cs="楷体"/>
          <w:b/>
          <w:bCs/>
          <w:kern w:val="0"/>
          <w:sz w:val="28"/>
          <w:szCs w:val="28"/>
          <w:highlight w:val="yellow"/>
          <w:shd w:val="clear" w:color="auto" w:fill="FFFFFF"/>
          <w:lang w:val="en-US" w:eastAsia="zh-CN" w:bidi="ar-SA"/>
        </w:rPr>
        <w:t>“</w:t>
      </w:r>
      <w:r>
        <w:rPr>
          <w:rFonts w:hint="default" w:ascii="Times New Roman" w:hAnsi="Times New Roman" w:eastAsia="楷体" w:cs="楷体"/>
          <w:b/>
          <w:bCs/>
          <w:kern w:val="0"/>
          <w:sz w:val="28"/>
          <w:szCs w:val="28"/>
          <w:highlight w:val="yellow"/>
          <w:shd w:val="clear" w:color="auto" w:fill="FFFFFF"/>
          <w:lang w:val="en-US" w:eastAsia="zh-CN" w:bidi="ar-SA"/>
        </w:rPr>
        <w:t>世界肝炎日</w:t>
      </w:r>
      <w:r>
        <w:rPr>
          <w:rFonts w:hint="eastAsia" w:ascii="Times New Roman" w:hAnsi="Times New Roman" w:eastAsia="楷体" w:cs="楷体"/>
          <w:b/>
          <w:bCs/>
          <w:kern w:val="0"/>
          <w:sz w:val="28"/>
          <w:szCs w:val="28"/>
          <w:highlight w:val="yellow"/>
          <w:shd w:val="clear" w:color="auto" w:fill="FFFFFF"/>
          <w:lang w:val="en-US" w:eastAsia="zh-CN" w:bidi="ar-SA"/>
        </w:rPr>
        <w:t>”</w:t>
      </w:r>
      <w:r>
        <w:rPr>
          <w:rFonts w:hint="default" w:ascii="Times New Roman" w:hAnsi="Times New Roman" w:eastAsia="楷体" w:cs="楷体"/>
          <w:b/>
          <w:bCs/>
          <w:kern w:val="0"/>
          <w:sz w:val="28"/>
          <w:szCs w:val="28"/>
          <w:highlight w:val="yellow"/>
          <w:shd w:val="clear" w:color="auto" w:fill="FFFFFF"/>
          <w:lang w:val="en-US" w:eastAsia="zh-CN" w:bidi="ar-SA"/>
        </w:rPr>
        <w:t>宣传活动在</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b/>
          <w:bCs/>
          <w:kern w:val="0"/>
          <w:sz w:val="28"/>
          <w:szCs w:val="28"/>
          <w:highlight w:val="yellow"/>
          <w:shd w:val="clear" w:color="auto" w:fill="FFFFFF"/>
          <w:lang w:val="en-US" w:eastAsia="zh-CN" w:bidi="ar-SA"/>
        </w:rPr>
        <w:t>县开展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为宣传第十三个“世界肝炎日”，2023年7月28日，安徽省疾病预防控制中心联合</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市疾病预防控制中心、</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县疾病预防控制中心、</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镇卫生院，在</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县梅山镇卫生院举办了“世界肝炎日”宣传活动。安徽省、</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市、</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县疾病预防控制中心以及梅山镇相关领导和专家出席了本次活动。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本次“世界肝炎日”的宣传主题是“坚持早预防，加强检测发现，规范抗病毒治疗”，旨在号召公众了解肝炎防控知识，加强检测，早期发现，规范治疗。在本次宣传活动设置的公众健康教育课堂，安徽省疾控中心徐庆华副主任现场教授了生动一课，向公众阐述了病毒性肝炎的严重危害，普及了积极检测、规范治疗的重要意义，强调了肝炎疫苗在防控肝炎中起到的重要作用。</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活动中，</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市、</w:t>
      </w:r>
      <w:r>
        <w:rPr>
          <w:rFonts w:hint="eastAsia" w:ascii="Times New Roman" w:hAnsi="Times New Roman" w:eastAsia="楷体" w:cs="楷体"/>
          <w:kern w:val="0"/>
          <w:sz w:val="28"/>
          <w:szCs w:val="28"/>
          <w:highlight w:val="yellow"/>
          <w:shd w:val="clear" w:color="auto" w:fill="FFFFFF"/>
          <w:lang w:val="en-US" w:eastAsia="zh-CN" w:bidi="ar-SA"/>
        </w:rPr>
        <w:t>**</w:t>
      </w:r>
      <w:r>
        <w:rPr>
          <w:rFonts w:hint="default" w:ascii="Times New Roman" w:hAnsi="Times New Roman" w:eastAsia="楷体" w:cs="楷体"/>
          <w:kern w:val="0"/>
          <w:sz w:val="28"/>
          <w:szCs w:val="28"/>
          <w:highlight w:val="yellow"/>
          <w:shd w:val="clear" w:color="auto" w:fill="FFFFFF"/>
          <w:lang w:val="en-US" w:eastAsia="zh-CN" w:bidi="ar-SA"/>
        </w:rPr>
        <w:t>县疾控中心专业人员还开展了病毒性肝炎知识科普和群众有奖问答。现场群众积极互动，主动咨询，气氛活跃，活动取得良好效果。</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参考链接：https://www.ahcdc.cn/content/detail/64c8c897e88b7c8b118b45d5.html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九、便民服务</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（一）咨询服务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咨询服务设置情况，包括咨询台(窗口)标识、路线，在线咨询服务等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中心联系电话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内容：中心相关事务咨询</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电话：0551-63674***</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服务时间：工作日9:00—17:00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中心疫情值班电话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内容：传染病疫情电话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电话：0551-63674***</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服务时间：全天24小时</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检测受理服务热线</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内容：受理各类检测服务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电话：0551-63674</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b w:val="0"/>
          <w:bCs w:val="0"/>
          <w:kern w:val="0"/>
          <w:sz w:val="28"/>
          <w:szCs w:val="28"/>
          <w:highlight w:val="yellow"/>
          <w:shd w:val="clear" w:color="auto" w:fill="FFFFFF"/>
          <w:lang w:val="en-US" w:eastAsia="zh-CN" w:bidi="ar-SA"/>
        </w:rPr>
      </w:pPr>
      <w:r>
        <w:rPr>
          <w:rFonts w:hint="eastAsia" w:ascii="Times New Roman" w:hAnsi="Times New Roman" w:eastAsia="楷体" w:cs="楷体"/>
          <w:b w:val="0"/>
          <w:bCs w:val="0"/>
          <w:kern w:val="0"/>
          <w:sz w:val="28"/>
          <w:szCs w:val="28"/>
          <w:highlight w:val="yellow"/>
          <w:shd w:val="clear" w:color="auto" w:fill="FFFFFF"/>
          <w:lang w:val="en-US" w:eastAsia="zh-CN" w:bidi="ar-SA"/>
        </w:rPr>
        <w:t>服务时间：工作日9:00—17:00</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参考链接：https://www.ahcdc.cn/content/detail/64d43f0de88b7c536c8b456d.html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（二）其他信息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Times New Roman"/>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相关主管部门规定的其他需要主动公开的信息</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0" w:firstLineChars="0"/>
        <w:jc w:val="center"/>
        <w:textAlignment w:val="auto"/>
        <w:outlineLvl w:val="9"/>
        <w:rPr>
          <w:rFonts w:hint="eastAsia" w:ascii="Times New Roman" w:hAnsi="Times New Roman"/>
          <w:lang w:val="en-US" w:eastAsia="zh-CN"/>
        </w:rPr>
      </w:pPr>
      <w:r>
        <w:rPr>
          <w:rFonts w:ascii="Times New Roman" w:hAnsi="Times New Roman"/>
        </w:rPr>
        <w:commentReference w:id="3"/>
      </w:r>
      <w:r>
        <w:rPr>
          <w:rFonts w:hint="eastAsia" w:ascii="Times New Roman" w:hAnsi="Times New Roman" w:eastAsia="楷体" w:cs="楷体"/>
          <w:b/>
          <w:bCs/>
          <w:kern w:val="0"/>
          <w:sz w:val="28"/>
          <w:szCs w:val="28"/>
          <w:highlight w:val="yellow"/>
          <w:shd w:val="clear" w:color="auto" w:fill="FFFFFF"/>
          <w:lang w:val="en-US" w:eastAsia="zh-CN"/>
        </w:rPr>
        <w:t>中心开展重点岗位集体廉洁谈话</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rPr>
      </w:pPr>
      <w:r>
        <w:rPr>
          <w:rFonts w:hint="eastAsia" w:ascii="Times New Roman" w:hAnsi="Times New Roman" w:eastAsia="楷体" w:cs="楷体"/>
          <w:kern w:val="0"/>
          <w:sz w:val="28"/>
          <w:szCs w:val="28"/>
          <w:highlight w:val="yellow"/>
          <w:shd w:val="clear" w:color="auto" w:fill="FFFFFF"/>
        </w:rPr>
        <w:t>为进一步落实全面从严治党要求，切实增强党员干部廉洁自律意识和履职尽责能力，营造风清气正的工作氛围，8月11日上午，中心纪委对重点岗位工作人员开展了集体廉洁谈话。会议由中心党委委员、纪委书记、副主任李</w:t>
      </w:r>
      <w:r>
        <w:rPr>
          <w:rFonts w:hint="eastAsia" w:ascii="Times New Roman" w:hAnsi="Times New Roman" w:eastAsia="楷体" w:cs="楷体"/>
          <w:b w:val="0"/>
          <w:bCs w:val="0"/>
          <w:kern w:val="0"/>
          <w:sz w:val="28"/>
          <w:szCs w:val="28"/>
          <w:highlight w:val="yellow"/>
          <w:shd w:val="clear" w:color="auto" w:fill="FFFFFF"/>
          <w:lang w:val="en-US" w:eastAsia="zh-CN" w:bidi="ar-SA"/>
        </w:rPr>
        <w:t>**</w:t>
      </w:r>
      <w:r>
        <w:rPr>
          <w:rFonts w:hint="eastAsia" w:ascii="Times New Roman" w:hAnsi="Times New Roman" w:eastAsia="楷体" w:cs="楷体"/>
          <w:kern w:val="0"/>
          <w:sz w:val="28"/>
          <w:szCs w:val="28"/>
          <w:highlight w:val="yellow"/>
          <w:shd w:val="clear" w:color="auto" w:fill="FFFFFF"/>
        </w:rPr>
        <w:t>主持，中心部分科室负责人参加了会议。</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rPr>
      </w:pPr>
      <w:r>
        <w:rPr>
          <w:rFonts w:hint="eastAsia" w:ascii="Times New Roman" w:hAnsi="Times New Roman" w:eastAsia="楷体" w:cs="楷体"/>
          <w:kern w:val="0"/>
          <w:sz w:val="28"/>
          <w:szCs w:val="28"/>
          <w:highlight w:val="yellow"/>
          <w:shd w:val="clear" w:color="auto" w:fill="FFFFFF"/>
        </w:rPr>
        <w:t>李</w:t>
      </w:r>
      <w:r>
        <w:rPr>
          <w:rFonts w:hint="eastAsia" w:ascii="Times New Roman" w:hAnsi="Times New Roman" w:eastAsia="楷体" w:cs="楷体"/>
          <w:kern w:val="0"/>
          <w:sz w:val="28"/>
          <w:szCs w:val="28"/>
          <w:highlight w:val="yellow"/>
          <w:shd w:val="clear" w:color="auto" w:fill="FFFFFF"/>
          <w:lang w:val="en-US" w:eastAsia="zh-CN" w:bidi="ar-SA"/>
        </w:rPr>
        <w:t>**</w:t>
      </w:r>
      <w:r>
        <w:rPr>
          <w:rFonts w:hint="eastAsia" w:ascii="Times New Roman" w:hAnsi="Times New Roman" w:eastAsia="楷体" w:cs="楷体"/>
          <w:kern w:val="0"/>
          <w:sz w:val="28"/>
          <w:szCs w:val="28"/>
          <w:highlight w:val="yellow"/>
          <w:shd w:val="clear" w:color="auto" w:fill="FFFFFF"/>
        </w:rPr>
        <w:t>指出，开展廉政谈话是一种教育监督形式，是组织对干部职工的关心和爱护，目的是教育警醒大家增强法纪意识，始终保持清醒头脑，既要牢牢守住廉洁底线，做到廉洁自律，又要高标准严要求履职担当。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
        </w:rPr>
      </w:pPr>
      <w:r>
        <w:rPr>
          <w:rFonts w:hint="eastAsia" w:ascii="Times New Roman" w:hAnsi="Times New Roman" w:eastAsia="楷体" w:cs="楷体"/>
          <w:kern w:val="0"/>
          <w:sz w:val="28"/>
          <w:szCs w:val="28"/>
          <w:highlight w:val="yellow"/>
          <w:shd w:val="clear" w:color="auto" w:fill="FFFFFF"/>
          <w:lang w:val="en-US" w:eastAsia="zh-CN" w:bidi="ar"/>
        </w:rPr>
        <w:t>……</w:t>
      </w:r>
      <w:bookmarkStart w:id="0" w:name="_GoBack"/>
      <w:bookmarkEnd w:id="0"/>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参考链接：https://www.ahcdc.cn/content/channel/5a3c58e37f8b9a2d48afe66c/</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十、监督保障</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（一）公开制度</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本</w:t>
      </w:r>
      <w:r>
        <w:rPr>
          <w:rFonts w:hint="eastAsia" w:ascii="Times New Roman" w:hAnsi="Times New Roman" w:eastAsia="方正仿宋_GBK" w:cs="方正仿宋_GBK"/>
          <w:kern w:val="0"/>
          <w:sz w:val="32"/>
          <w:szCs w:val="32"/>
          <w:shd w:val="clear" w:color="auto" w:fill="FFFFFF"/>
          <w:lang w:val="en-US" w:eastAsia="zh-CN" w:bidi="ar-SA"/>
        </w:rPr>
        <w:t>机构信息公开工作制度，需对信息公开的范围形式、审核发布、管理维护、咨询回应等工作做出规定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安徽省疾病预防控制中心信息公开管理办法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为了更好地向公众提供本单位的信息公开服务，结合本中心编制的《安徽省疾病预防控制中心信息公开指南》，制定本办法。</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一、应当主动、及时、准确地依法向公民、法人和其他组织提供本机构信息。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二、本单位主动向社会公开的信息应当在中心网站上发布。必要时还可通过新闻媒体向社会公布，以及在接听咨询电话时发布。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三、应当向社会公开的信息产生或变更后，公开时限最迟不超过20个工作日。</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四、对咨询、新闻媒体采访等申请公开的信息，必须严格执行《传染病防治法》等法规，在得到省卫生健康委批准、授权后，方可对外公布。对违反法规造成疫情等保密信息泄漏的要追究其责任。</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五、各科室应当对工作中产生的信息即时确定专人起草信息稿件。应当公开的信息须经科室负责人审核，中心领导审批后才能对外公布。</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六、本中心对外公布的信息必须以事实为基础，不得编造、夸大、隐瞒事实真相，造成信息公布违背事实的，应追究相关责任人责任。</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七、应当注意公开信息发布的时间、地点、范围等可能影响疾病预防控制工作的因素，避免造成民众恐慌等不良事件的发生。</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八、本着尊重科学，服务百姓的原则，中心发布的科普信息应当科学、通俗易懂、有针对性，不得发布尚未定论的、自相矛盾的、产生歧义的防病信息。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参考链接：https://www.ahcdc.cn/content/detail/64d43f96e88b7cf20e8b4587.html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（二）人员保障</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公开本机构信息公开工作第一负责人、管理部门或者专业负责人员、领导小组成员等信息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信息公开工作第一负责人：丁刚</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信息公开工作领导小组</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组长：刘志荣</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副组长：徐庆华、李卫东、吴家兵、丁刚、王业鹏</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成员：唐继海、王俊、刘婷、许德、张进、</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许娴、王志强、龚磊、王华东、曹明华、</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吴磊、江石、胡兴强、孙永、徐艳龙、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王斌冰、叶婷婷、邓舒、史永林、朱沉默、</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谢继安、王岩、张龙</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信息公开工作领导小组办公室设在行政办公室，负责日常事务。</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参考链接：https://www.ahcdc.cn/content/detail/64d43fc1e88b7cf20e8b458a.html</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（三）工作推进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定</w:t>
      </w:r>
      <w:r>
        <w:rPr>
          <w:rFonts w:hint="eastAsia" w:ascii="Times New Roman" w:hAnsi="Times New Roman" w:eastAsia="方正仿宋_GBK" w:cs="方正仿宋_GBK"/>
          <w:kern w:val="0"/>
          <w:sz w:val="32"/>
          <w:szCs w:val="32"/>
          <w:shd w:val="clear" w:color="auto" w:fill="FFFFFF"/>
          <w:lang w:val="en-US" w:eastAsia="zh-CN" w:bidi="ar-SA"/>
        </w:rPr>
        <w:t>期公开</w:t>
      </w:r>
      <w:r>
        <w:rPr>
          <w:rFonts w:hint="eastAsia" w:ascii="Times New Roman" w:hAnsi="Times New Roman" w:eastAsia="方正仿宋_GBK" w:cs="方正仿宋_GBK"/>
          <w:b/>
          <w:bCs/>
          <w:kern w:val="0"/>
          <w:sz w:val="32"/>
          <w:szCs w:val="32"/>
          <w:shd w:val="clear" w:color="auto" w:fill="FFFFFF"/>
          <w:lang w:val="en-US" w:eastAsia="zh-CN" w:bidi="ar-SA"/>
        </w:rPr>
        <w:t>本机构信息公开工作情况、问题整改情况、自查自纠情况、考核工作进展情况、信息公开工作总结</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安徽省疾病预防控制中心2022年信息公开工作总结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2022年，中心贯彻落实《关于印发&lt;安徽省医疗卫生机构信息公开目录&gt;的通知》（皖卫办秘〔2022〕56号）文件要求，围绕本年度重点工作，加大主动公开力度，丰富政策解读形式，切实回应社会公众关切。现将工作情况总结如下：</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一、主动公开</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加大基础信息公开力度。中心2022年主动公开信息819条。按时公开年度重点工作进展情况，按要求公开财务预决算信息。对照中疾控2021年省级疾控中心网站评测得分表，对中心网站进行整改，增加门户网站信息公开内容、丰富健康科普知识、更新陈旧信息、优化互动交流渠道。</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落实重点工作公开要求。一是做好医疗卫生机构信息公开工作。结合省卫生健康委印发的《安徽省医疗卫生机构信息公开目录》，分别对各科室提出信息公开工作要求。二是做好常态化疫情防控工作。及时回应新冠疫情防控相关社会关注热点问题，更新发布全省新冠热线电话、定点医院发热门诊、核酸检测机构等便民服务信息。</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深化专家咨询回应效果。2022年便民服务专家咨询板块回复68条读者咨询，其中新冠疫苗类问题24个，新冠疫情类问题15个，狂犬病类问题12个，其他传染病、实验室检验类问题17个。将单一的专家咨询板块拓展为网上互动板块，包含专家咨询、意见征集和信件查询功能。接听疫情值班电话21317个，内容主要涉及新冠疫情、狂犬病、艾滋病等。</w:t>
      </w:r>
    </w:p>
    <w:p>
      <w:pPr>
        <w:keepNext w:val="0"/>
        <w:keepLines w:val="0"/>
        <w:pageBreakBefore w:val="0"/>
        <w:widowControl w:val="0"/>
        <w:numPr>
          <w:ilvl w:val="0"/>
          <w:numId w:val="0"/>
        </w:numPr>
        <w:shd w:val="clear"/>
        <w:kinsoku/>
        <w:wordWrap/>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b w:val="0"/>
          <w:bCs w:val="0"/>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参考链接：https://www.ahcdc.cn/content/detail/64d44005e88b7cf20e8b458d.html</w:t>
      </w:r>
    </w:p>
    <w:sectPr>
      <w:footerReference r:id="rId5" w:type="default"/>
      <w:pgSz w:w="11906" w:h="16838"/>
      <w:pgMar w:top="1440" w:right="1800" w:bottom="1440" w:left="1800" w:header="851" w:footer="113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omet" w:date="2023-08-17T16:28:19Z" w:initials="">
    <w:p w14:paraId="20CA0086">
      <w:pPr>
        <w:pStyle w:val="2"/>
        <w:rPr>
          <w:rFonts w:hint="default" w:eastAsiaTheme="minorEastAsia"/>
          <w:lang w:val="en-US" w:eastAsia="zh-CN"/>
        </w:rPr>
      </w:pPr>
      <w:r>
        <w:rPr>
          <w:rFonts w:hint="eastAsia"/>
          <w:lang w:val="en-US" w:eastAsia="zh-CN"/>
        </w:rPr>
        <w:t>这里可以参考基层医疗卫生机构此处信息设置</w:t>
      </w:r>
    </w:p>
  </w:comment>
  <w:comment w:id="1" w:author="comet" w:date="2023-08-17T16:30:48Z" w:initials="">
    <w:p w14:paraId="690F3832">
      <w:pPr>
        <w:pStyle w:val="2"/>
        <w:rPr>
          <w:rFonts w:hint="default" w:eastAsiaTheme="minorEastAsia"/>
          <w:lang w:val="en-US" w:eastAsia="zh-CN"/>
        </w:rPr>
      </w:pPr>
      <w:r>
        <w:rPr>
          <w:rFonts w:hint="eastAsia"/>
          <w:lang w:val="en-US" w:eastAsia="zh-CN"/>
        </w:rPr>
        <w:t>添加一行实际数据</w:t>
      </w:r>
    </w:p>
  </w:comment>
  <w:comment w:id="2" w:author="comet" w:date="2023-08-17T16:31:56Z" w:initials="">
    <w:p w14:paraId="40E4122C">
      <w:pPr>
        <w:pStyle w:val="2"/>
        <w:rPr>
          <w:rFonts w:hint="default" w:eastAsiaTheme="minorEastAsia"/>
          <w:lang w:val="en-US" w:eastAsia="zh-CN"/>
        </w:rPr>
      </w:pPr>
      <w:r>
        <w:rPr>
          <w:rFonts w:hint="eastAsia"/>
          <w:lang w:val="en-US" w:eastAsia="zh-CN"/>
        </w:rPr>
        <w:t>换个传染病的更合适</w:t>
      </w:r>
    </w:p>
  </w:comment>
  <w:comment w:id="3" w:author="comet" w:date="2023-08-17T16:32:20Z" w:initials="">
    <w:p w14:paraId="4C9A5EFE">
      <w:pPr>
        <w:pStyle w:val="2"/>
        <w:rPr>
          <w:rFonts w:hint="default" w:eastAsiaTheme="minorEastAsia"/>
          <w:lang w:val="en-US" w:eastAsia="zh-CN"/>
        </w:rPr>
      </w:pPr>
      <w:r>
        <w:rPr>
          <w:rFonts w:hint="eastAsia"/>
          <w:lang w:val="en-US" w:eastAsia="zh-CN"/>
        </w:rPr>
        <w:t>举个范例，可以参考基层医疗卫生机构此栏目下的范例</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CA0086" w15:done="0"/>
  <w15:commentEx w15:paraId="690F3832" w15:done="0"/>
  <w15:commentEx w15:paraId="40E4122C" w15:done="0"/>
  <w15:commentEx w15:paraId="4C9A5EF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黑体_GBK">
    <w:panose1 w:val="03000509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方正仿宋_GBK">
    <w:panose1 w:val="02000000000000000000"/>
    <w:charset w:val="86"/>
    <w:family w:val="script"/>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7226"/>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C4459"/>
    <w:multiLevelType w:val="singleLevel"/>
    <w:tmpl w:val="C6DC4459"/>
    <w:lvl w:ilvl="0" w:tentative="0">
      <w:start w:val="2"/>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omet">
    <w15:presenceInfo w15:providerId="WPS Office" w15:userId="262668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ZmEzZDM0MGQ5NzE3MjA4MjY4MmNkOWY5ODJhYWMifQ=="/>
  </w:docVars>
  <w:rsids>
    <w:rsidRoot w:val="00000000"/>
    <w:rsid w:val="00455D2B"/>
    <w:rsid w:val="004976CD"/>
    <w:rsid w:val="00575D78"/>
    <w:rsid w:val="005C4D2E"/>
    <w:rsid w:val="00D23242"/>
    <w:rsid w:val="00E371FE"/>
    <w:rsid w:val="010827C0"/>
    <w:rsid w:val="0134363F"/>
    <w:rsid w:val="013E2686"/>
    <w:rsid w:val="014001AC"/>
    <w:rsid w:val="01845D00"/>
    <w:rsid w:val="01E67C51"/>
    <w:rsid w:val="01EE7C08"/>
    <w:rsid w:val="02704AC1"/>
    <w:rsid w:val="02DA4630"/>
    <w:rsid w:val="03157416"/>
    <w:rsid w:val="03193A46"/>
    <w:rsid w:val="03265180"/>
    <w:rsid w:val="03804E31"/>
    <w:rsid w:val="03993BA4"/>
    <w:rsid w:val="03BB7FBE"/>
    <w:rsid w:val="03DA4021"/>
    <w:rsid w:val="03E017D2"/>
    <w:rsid w:val="04194CE4"/>
    <w:rsid w:val="049B394B"/>
    <w:rsid w:val="049F168E"/>
    <w:rsid w:val="04AB0032"/>
    <w:rsid w:val="04B2580A"/>
    <w:rsid w:val="04C80BE4"/>
    <w:rsid w:val="04EF408F"/>
    <w:rsid w:val="050414F1"/>
    <w:rsid w:val="05270890"/>
    <w:rsid w:val="053E4A03"/>
    <w:rsid w:val="057C552B"/>
    <w:rsid w:val="05E42EC1"/>
    <w:rsid w:val="05F15F19"/>
    <w:rsid w:val="06514813"/>
    <w:rsid w:val="0687687D"/>
    <w:rsid w:val="06C74ECC"/>
    <w:rsid w:val="06E67100"/>
    <w:rsid w:val="071C6FC5"/>
    <w:rsid w:val="077C2EE9"/>
    <w:rsid w:val="07BC27F4"/>
    <w:rsid w:val="07D23B28"/>
    <w:rsid w:val="08000500"/>
    <w:rsid w:val="08174197"/>
    <w:rsid w:val="084004E8"/>
    <w:rsid w:val="08803584"/>
    <w:rsid w:val="08F5187C"/>
    <w:rsid w:val="09016173"/>
    <w:rsid w:val="09206B1A"/>
    <w:rsid w:val="093F0D49"/>
    <w:rsid w:val="09836790"/>
    <w:rsid w:val="09840E52"/>
    <w:rsid w:val="09A42FB8"/>
    <w:rsid w:val="09AF3AFE"/>
    <w:rsid w:val="09BA4874"/>
    <w:rsid w:val="09EA4A54"/>
    <w:rsid w:val="0A086B37"/>
    <w:rsid w:val="0A454825"/>
    <w:rsid w:val="0A6E3032"/>
    <w:rsid w:val="0A7D0760"/>
    <w:rsid w:val="0A8C6210"/>
    <w:rsid w:val="0A943317"/>
    <w:rsid w:val="0A9B46A5"/>
    <w:rsid w:val="0A9E7F34"/>
    <w:rsid w:val="0AA02B79"/>
    <w:rsid w:val="0AA572D2"/>
    <w:rsid w:val="0AB46F56"/>
    <w:rsid w:val="0AC00184"/>
    <w:rsid w:val="0B1D59CE"/>
    <w:rsid w:val="0B845139"/>
    <w:rsid w:val="0C201306"/>
    <w:rsid w:val="0C216E2C"/>
    <w:rsid w:val="0C4336FC"/>
    <w:rsid w:val="0C8A49D1"/>
    <w:rsid w:val="0D0E73B0"/>
    <w:rsid w:val="0D3A63F7"/>
    <w:rsid w:val="0D5C636E"/>
    <w:rsid w:val="0D933DDE"/>
    <w:rsid w:val="0E0B7D94"/>
    <w:rsid w:val="0E7E6AF2"/>
    <w:rsid w:val="0E8F4521"/>
    <w:rsid w:val="0EAA135B"/>
    <w:rsid w:val="0EB775D4"/>
    <w:rsid w:val="0EDB7766"/>
    <w:rsid w:val="0F052866"/>
    <w:rsid w:val="0F3D21CF"/>
    <w:rsid w:val="0F545135"/>
    <w:rsid w:val="0F563659"/>
    <w:rsid w:val="0F692FC4"/>
    <w:rsid w:val="0FA45DAA"/>
    <w:rsid w:val="0FAF2740"/>
    <w:rsid w:val="0FB81855"/>
    <w:rsid w:val="0FBC6912"/>
    <w:rsid w:val="0FC830DE"/>
    <w:rsid w:val="0FE8213B"/>
    <w:rsid w:val="10A62947"/>
    <w:rsid w:val="10B77D5F"/>
    <w:rsid w:val="10BE10ED"/>
    <w:rsid w:val="10C75DB2"/>
    <w:rsid w:val="112847B9"/>
    <w:rsid w:val="112A6783"/>
    <w:rsid w:val="119E39C9"/>
    <w:rsid w:val="1221564B"/>
    <w:rsid w:val="1269484A"/>
    <w:rsid w:val="129D78DE"/>
    <w:rsid w:val="129E02B8"/>
    <w:rsid w:val="12B427A8"/>
    <w:rsid w:val="12CA5B28"/>
    <w:rsid w:val="13054FA5"/>
    <w:rsid w:val="133039D4"/>
    <w:rsid w:val="13370A53"/>
    <w:rsid w:val="1367781A"/>
    <w:rsid w:val="13857CA0"/>
    <w:rsid w:val="13DD7ADC"/>
    <w:rsid w:val="14090FB3"/>
    <w:rsid w:val="143D5A37"/>
    <w:rsid w:val="146124BC"/>
    <w:rsid w:val="14A74B70"/>
    <w:rsid w:val="14A95C11"/>
    <w:rsid w:val="14B7224E"/>
    <w:rsid w:val="14C33176"/>
    <w:rsid w:val="14ED1FA1"/>
    <w:rsid w:val="14F00D2A"/>
    <w:rsid w:val="15791A87"/>
    <w:rsid w:val="15C829FE"/>
    <w:rsid w:val="15CE6E27"/>
    <w:rsid w:val="15E45152"/>
    <w:rsid w:val="16135A37"/>
    <w:rsid w:val="16450274"/>
    <w:rsid w:val="16470E3A"/>
    <w:rsid w:val="16DF591A"/>
    <w:rsid w:val="1731510D"/>
    <w:rsid w:val="175D0F94"/>
    <w:rsid w:val="17712A16"/>
    <w:rsid w:val="17A80401"/>
    <w:rsid w:val="17C27715"/>
    <w:rsid w:val="17E31439"/>
    <w:rsid w:val="180304B3"/>
    <w:rsid w:val="184A5F8A"/>
    <w:rsid w:val="18A1707D"/>
    <w:rsid w:val="19151AC7"/>
    <w:rsid w:val="19575C3B"/>
    <w:rsid w:val="199A2F76"/>
    <w:rsid w:val="19A215AC"/>
    <w:rsid w:val="1A2C70C8"/>
    <w:rsid w:val="1A7171D0"/>
    <w:rsid w:val="1AD5775F"/>
    <w:rsid w:val="1B1262BE"/>
    <w:rsid w:val="1B157B5C"/>
    <w:rsid w:val="1B4D19EC"/>
    <w:rsid w:val="1B5A7C65"/>
    <w:rsid w:val="1B7E2ED7"/>
    <w:rsid w:val="1B83626B"/>
    <w:rsid w:val="1BB23BB4"/>
    <w:rsid w:val="1BD17F27"/>
    <w:rsid w:val="1C057BD0"/>
    <w:rsid w:val="1C18151F"/>
    <w:rsid w:val="1C2F4C4D"/>
    <w:rsid w:val="1C817B9F"/>
    <w:rsid w:val="1CA23671"/>
    <w:rsid w:val="1CBD628D"/>
    <w:rsid w:val="1CE47591"/>
    <w:rsid w:val="1D0C6237"/>
    <w:rsid w:val="1D126A49"/>
    <w:rsid w:val="1D344C11"/>
    <w:rsid w:val="1D60170E"/>
    <w:rsid w:val="1DA12B1E"/>
    <w:rsid w:val="1DA75504"/>
    <w:rsid w:val="1E37776A"/>
    <w:rsid w:val="1E6A6411"/>
    <w:rsid w:val="1E6F1C79"/>
    <w:rsid w:val="1EDF65BF"/>
    <w:rsid w:val="1EEC32CA"/>
    <w:rsid w:val="1F071EB1"/>
    <w:rsid w:val="1F354C71"/>
    <w:rsid w:val="1F5D7D23"/>
    <w:rsid w:val="1F892FF7"/>
    <w:rsid w:val="1FB3736A"/>
    <w:rsid w:val="1FD013B5"/>
    <w:rsid w:val="1FF02946"/>
    <w:rsid w:val="20196340"/>
    <w:rsid w:val="20286583"/>
    <w:rsid w:val="20384A18"/>
    <w:rsid w:val="209029D8"/>
    <w:rsid w:val="20B3139F"/>
    <w:rsid w:val="20B83463"/>
    <w:rsid w:val="20F45451"/>
    <w:rsid w:val="21221225"/>
    <w:rsid w:val="21222FD3"/>
    <w:rsid w:val="213D1BBA"/>
    <w:rsid w:val="21455967"/>
    <w:rsid w:val="21C66054"/>
    <w:rsid w:val="21C976B9"/>
    <w:rsid w:val="21D40771"/>
    <w:rsid w:val="222D1C2F"/>
    <w:rsid w:val="2271206B"/>
    <w:rsid w:val="228757E3"/>
    <w:rsid w:val="22B20386"/>
    <w:rsid w:val="22C24D7F"/>
    <w:rsid w:val="22C97BAA"/>
    <w:rsid w:val="231D2AC2"/>
    <w:rsid w:val="234A5292"/>
    <w:rsid w:val="23627691"/>
    <w:rsid w:val="23BE1BBF"/>
    <w:rsid w:val="23E80503"/>
    <w:rsid w:val="24042E63"/>
    <w:rsid w:val="242664D7"/>
    <w:rsid w:val="249441E7"/>
    <w:rsid w:val="24D942F0"/>
    <w:rsid w:val="24FE78B3"/>
    <w:rsid w:val="25227A45"/>
    <w:rsid w:val="25556212"/>
    <w:rsid w:val="255977A5"/>
    <w:rsid w:val="25650DA8"/>
    <w:rsid w:val="25893620"/>
    <w:rsid w:val="25D15066"/>
    <w:rsid w:val="25DF76E4"/>
    <w:rsid w:val="25EE5B79"/>
    <w:rsid w:val="26705CF5"/>
    <w:rsid w:val="26760048"/>
    <w:rsid w:val="26A10E3D"/>
    <w:rsid w:val="26CA3EF0"/>
    <w:rsid w:val="26D27249"/>
    <w:rsid w:val="26EA00AD"/>
    <w:rsid w:val="27003DB6"/>
    <w:rsid w:val="2719489B"/>
    <w:rsid w:val="27866808"/>
    <w:rsid w:val="278E4F1E"/>
    <w:rsid w:val="279D1605"/>
    <w:rsid w:val="28101DD7"/>
    <w:rsid w:val="28107B05"/>
    <w:rsid w:val="28357A8F"/>
    <w:rsid w:val="288E3A97"/>
    <w:rsid w:val="289A5B44"/>
    <w:rsid w:val="28B409B4"/>
    <w:rsid w:val="29023E15"/>
    <w:rsid w:val="2932011A"/>
    <w:rsid w:val="29325D7D"/>
    <w:rsid w:val="29455AB0"/>
    <w:rsid w:val="294C2EF1"/>
    <w:rsid w:val="29842A7C"/>
    <w:rsid w:val="298C36DF"/>
    <w:rsid w:val="299B396F"/>
    <w:rsid w:val="29BF1D06"/>
    <w:rsid w:val="29D11A3A"/>
    <w:rsid w:val="2A3A7FD7"/>
    <w:rsid w:val="2A6603D4"/>
    <w:rsid w:val="2A9C5BA4"/>
    <w:rsid w:val="2AA36F32"/>
    <w:rsid w:val="2AE845D1"/>
    <w:rsid w:val="2B5621F6"/>
    <w:rsid w:val="2B9729CB"/>
    <w:rsid w:val="2B9D6077"/>
    <w:rsid w:val="2BC41856"/>
    <w:rsid w:val="2BDF21EC"/>
    <w:rsid w:val="2BE35DEC"/>
    <w:rsid w:val="2C372028"/>
    <w:rsid w:val="2C3C763E"/>
    <w:rsid w:val="2C5801F0"/>
    <w:rsid w:val="2C5C54FC"/>
    <w:rsid w:val="2C6C4D4F"/>
    <w:rsid w:val="2C7C7A3B"/>
    <w:rsid w:val="2CAD4B2B"/>
    <w:rsid w:val="2CBE44F7"/>
    <w:rsid w:val="2CC667EF"/>
    <w:rsid w:val="2CD66D76"/>
    <w:rsid w:val="2D740CC3"/>
    <w:rsid w:val="2D821FDA"/>
    <w:rsid w:val="2DB33930"/>
    <w:rsid w:val="2DC45B3D"/>
    <w:rsid w:val="2DDC5CE1"/>
    <w:rsid w:val="2DE81100"/>
    <w:rsid w:val="2E0F2D6D"/>
    <w:rsid w:val="2E2E2FB7"/>
    <w:rsid w:val="2EF15D2F"/>
    <w:rsid w:val="2EFF4953"/>
    <w:rsid w:val="2F5F78A9"/>
    <w:rsid w:val="2FB74C3C"/>
    <w:rsid w:val="300C3D37"/>
    <w:rsid w:val="30146A2A"/>
    <w:rsid w:val="30766E97"/>
    <w:rsid w:val="30901D07"/>
    <w:rsid w:val="30F03A74"/>
    <w:rsid w:val="311C4703"/>
    <w:rsid w:val="312C6EBD"/>
    <w:rsid w:val="31A876A2"/>
    <w:rsid w:val="31CA1DF5"/>
    <w:rsid w:val="31DB16A7"/>
    <w:rsid w:val="32146967"/>
    <w:rsid w:val="327318E0"/>
    <w:rsid w:val="328B4E7C"/>
    <w:rsid w:val="32935ADE"/>
    <w:rsid w:val="32D103B5"/>
    <w:rsid w:val="32FF4F22"/>
    <w:rsid w:val="33010C9A"/>
    <w:rsid w:val="338E0C8E"/>
    <w:rsid w:val="339870D2"/>
    <w:rsid w:val="33B201E6"/>
    <w:rsid w:val="33B2468A"/>
    <w:rsid w:val="33BA709B"/>
    <w:rsid w:val="33DC5263"/>
    <w:rsid w:val="33F95E15"/>
    <w:rsid w:val="34474DD2"/>
    <w:rsid w:val="344C23E9"/>
    <w:rsid w:val="3482405C"/>
    <w:rsid w:val="34FA0097"/>
    <w:rsid w:val="350E42CE"/>
    <w:rsid w:val="351153E0"/>
    <w:rsid w:val="352C3FC8"/>
    <w:rsid w:val="35571045"/>
    <w:rsid w:val="35893ED0"/>
    <w:rsid w:val="358D6D5A"/>
    <w:rsid w:val="35C3035D"/>
    <w:rsid w:val="35EA010B"/>
    <w:rsid w:val="363A6C96"/>
    <w:rsid w:val="36421CF5"/>
    <w:rsid w:val="365F6821"/>
    <w:rsid w:val="367D2C1D"/>
    <w:rsid w:val="36A93140"/>
    <w:rsid w:val="36AE738B"/>
    <w:rsid w:val="36C546D4"/>
    <w:rsid w:val="370E68A3"/>
    <w:rsid w:val="378262F1"/>
    <w:rsid w:val="379D2F5B"/>
    <w:rsid w:val="37CA08E7"/>
    <w:rsid w:val="37FA4CDB"/>
    <w:rsid w:val="38064FA4"/>
    <w:rsid w:val="382B2790"/>
    <w:rsid w:val="38397128"/>
    <w:rsid w:val="38926838"/>
    <w:rsid w:val="38F372D7"/>
    <w:rsid w:val="38FB1FB4"/>
    <w:rsid w:val="38FC1F8D"/>
    <w:rsid w:val="39333B69"/>
    <w:rsid w:val="39644874"/>
    <w:rsid w:val="39AD0584"/>
    <w:rsid w:val="39B76556"/>
    <w:rsid w:val="39CD5D7A"/>
    <w:rsid w:val="39EF6E95"/>
    <w:rsid w:val="3A101F69"/>
    <w:rsid w:val="3A175247"/>
    <w:rsid w:val="3A61585B"/>
    <w:rsid w:val="3A6F1341"/>
    <w:rsid w:val="3A7E7074"/>
    <w:rsid w:val="3AC21656"/>
    <w:rsid w:val="3AD9074E"/>
    <w:rsid w:val="3AE46661"/>
    <w:rsid w:val="3B3B134C"/>
    <w:rsid w:val="3B4F0A10"/>
    <w:rsid w:val="3B9653CB"/>
    <w:rsid w:val="3B9A1C8B"/>
    <w:rsid w:val="3BAB7741"/>
    <w:rsid w:val="3BE15B0C"/>
    <w:rsid w:val="3C08753D"/>
    <w:rsid w:val="3C0F6F91"/>
    <w:rsid w:val="3C18367C"/>
    <w:rsid w:val="3C377FF5"/>
    <w:rsid w:val="3C584469"/>
    <w:rsid w:val="3C9963E7"/>
    <w:rsid w:val="3CBC1403"/>
    <w:rsid w:val="3D015D3A"/>
    <w:rsid w:val="3D5B544A"/>
    <w:rsid w:val="3D8B1CB8"/>
    <w:rsid w:val="3DB02A77"/>
    <w:rsid w:val="3DDE7598"/>
    <w:rsid w:val="3DE85E9C"/>
    <w:rsid w:val="3E4405D4"/>
    <w:rsid w:val="3E481E73"/>
    <w:rsid w:val="3E4D56DB"/>
    <w:rsid w:val="3E532B33"/>
    <w:rsid w:val="3EFE4C27"/>
    <w:rsid w:val="3F156F02"/>
    <w:rsid w:val="3FC83CD6"/>
    <w:rsid w:val="3FF03A71"/>
    <w:rsid w:val="3FF92C4E"/>
    <w:rsid w:val="400C4D59"/>
    <w:rsid w:val="401C6811"/>
    <w:rsid w:val="406A2ECB"/>
    <w:rsid w:val="409A0980"/>
    <w:rsid w:val="40E63BC5"/>
    <w:rsid w:val="41053EE9"/>
    <w:rsid w:val="41083B3B"/>
    <w:rsid w:val="414032D5"/>
    <w:rsid w:val="414F3518"/>
    <w:rsid w:val="41676AB4"/>
    <w:rsid w:val="41760AA5"/>
    <w:rsid w:val="41A05B22"/>
    <w:rsid w:val="41B415CD"/>
    <w:rsid w:val="41D92A60"/>
    <w:rsid w:val="41E33C60"/>
    <w:rsid w:val="41E35E39"/>
    <w:rsid w:val="41F7441A"/>
    <w:rsid w:val="41FA16D6"/>
    <w:rsid w:val="42472441"/>
    <w:rsid w:val="4253528A"/>
    <w:rsid w:val="42641245"/>
    <w:rsid w:val="42962B32"/>
    <w:rsid w:val="42C41CE4"/>
    <w:rsid w:val="43690BE5"/>
    <w:rsid w:val="439B0C97"/>
    <w:rsid w:val="43A15B81"/>
    <w:rsid w:val="43AF738A"/>
    <w:rsid w:val="43D441A9"/>
    <w:rsid w:val="440C3942"/>
    <w:rsid w:val="44183AAE"/>
    <w:rsid w:val="44205471"/>
    <w:rsid w:val="4436451B"/>
    <w:rsid w:val="44CD30D2"/>
    <w:rsid w:val="44D22496"/>
    <w:rsid w:val="44D73F50"/>
    <w:rsid w:val="44E328F5"/>
    <w:rsid w:val="453767A4"/>
    <w:rsid w:val="453E3FCF"/>
    <w:rsid w:val="45837C34"/>
    <w:rsid w:val="45991206"/>
    <w:rsid w:val="45B918A8"/>
    <w:rsid w:val="45C049E4"/>
    <w:rsid w:val="462C02CC"/>
    <w:rsid w:val="46437D75"/>
    <w:rsid w:val="469274A9"/>
    <w:rsid w:val="46C2653A"/>
    <w:rsid w:val="47044DA5"/>
    <w:rsid w:val="47242D51"/>
    <w:rsid w:val="472E597E"/>
    <w:rsid w:val="477F61D9"/>
    <w:rsid w:val="47A04ACD"/>
    <w:rsid w:val="47A1386E"/>
    <w:rsid w:val="47E04ECA"/>
    <w:rsid w:val="48733F90"/>
    <w:rsid w:val="489D100D"/>
    <w:rsid w:val="498519ED"/>
    <w:rsid w:val="49A62143"/>
    <w:rsid w:val="49AD695F"/>
    <w:rsid w:val="49F25388"/>
    <w:rsid w:val="49F904C5"/>
    <w:rsid w:val="4A094F71"/>
    <w:rsid w:val="4A2B03F2"/>
    <w:rsid w:val="4A5A1533"/>
    <w:rsid w:val="4A677B24"/>
    <w:rsid w:val="4A9C5A39"/>
    <w:rsid w:val="4ABC2A1D"/>
    <w:rsid w:val="4AF14811"/>
    <w:rsid w:val="4AFC0F9A"/>
    <w:rsid w:val="4B4B3D85"/>
    <w:rsid w:val="4B762C77"/>
    <w:rsid w:val="4BB1115C"/>
    <w:rsid w:val="4BCF3F35"/>
    <w:rsid w:val="4BD03783"/>
    <w:rsid w:val="4BD83A6D"/>
    <w:rsid w:val="4C3D2E51"/>
    <w:rsid w:val="4C9E5354"/>
    <w:rsid w:val="4CB30DFF"/>
    <w:rsid w:val="4D027691"/>
    <w:rsid w:val="4D072EF9"/>
    <w:rsid w:val="4D297313"/>
    <w:rsid w:val="4D567878"/>
    <w:rsid w:val="4D5A35B6"/>
    <w:rsid w:val="4D6D5452"/>
    <w:rsid w:val="4D73058E"/>
    <w:rsid w:val="4D7B7443"/>
    <w:rsid w:val="4D84279B"/>
    <w:rsid w:val="4D8B6786"/>
    <w:rsid w:val="4D905618"/>
    <w:rsid w:val="4DEA2C02"/>
    <w:rsid w:val="4E21623C"/>
    <w:rsid w:val="4E4E4DBC"/>
    <w:rsid w:val="4E6F6432"/>
    <w:rsid w:val="4E992DD9"/>
    <w:rsid w:val="4EC56BC8"/>
    <w:rsid w:val="4ECF7A46"/>
    <w:rsid w:val="4EE04609"/>
    <w:rsid w:val="4EFB3F38"/>
    <w:rsid w:val="4F18319B"/>
    <w:rsid w:val="4F2C7509"/>
    <w:rsid w:val="4F9547EC"/>
    <w:rsid w:val="4FA3545F"/>
    <w:rsid w:val="4FB1108C"/>
    <w:rsid w:val="4FC60E49"/>
    <w:rsid w:val="4FD317B8"/>
    <w:rsid w:val="509E1DC6"/>
    <w:rsid w:val="5124051D"/>
    <w:rsid w:val="51295B34"/>
    <w:rsid w:val="51A05D3A"/>
    <w:rsid w:val="51A14BB4"/>
    <w:rsid w:val="522A38E1"/>
    <w:rsid w:val="522E543B"/>
    <w:rsid w:val="523F3135"/>
    <w:rsid w:val="525766D1"/>
    <w:rsid w:val="527728CF"/>
    <w:rsid w:val="52AE4D91"/>
    <w:rsid w:val="52BB456C"/>
    <w:rsid w:val="52DA325B"/>
    <w:rsid w:val="52EA4E4F"/>
    <w:rsid w:val="536746D0"/>
    <w:rsid w:val="539179C0"/>
    <w:rsid w:val="53A72D40"/>
    <w:rsid w:val="53E6355F"/>
    <w:rsid w:val="54036E8C"/>
    <w:rsid w:val="540C6A33"/>
    <w:rsid w:val="54190A09"/>
    <w:rsid w:val="54CC5154"/>
    <w:rsid w:val="55326F81"/>
    <w:rsid w:val="555D2250"/>
    <w:rsid w:val="558301BF"/>
    <w:rsid w:val="558E2409"/>
    <w:rsid w:val="55DB4F23"/>
    <w:rsid w:val="55E471AE"/>
    <w:rsid w:val="55E71192"/>
    <w:rsid w:val="55FB150F"/>
    <w:rsid w:val="563D798B"/>
    <w:rsid w:val="56424FA2"/>
    <w:rsid w:val="565076BF"/>
    <w:rsid w:val="568E6094"/>
    <w:rsid w:val="569D042A"/>
    <w:rsid w:val="56B539C6"/>
    <w:rsid w:val="56B74F73"/>
    <w:rsid w:val="571E6D47"/>
    <w:rsid w:val="572253C2"/>
    <w:rsid w:val="57415259"/>
    <w:rsid w:val="582232DD"/>
    <w:rsid w:val="5826332C"/>
    <w:rsid w:val="589D1A59"/>
    <w:rsid w:val="58FB3ADA"/>
    <w:rsid w:val="593C3F2A"/>
    <w:rsid w:val="593E5EF4"/>
    <w:rsid w:val="596F4300"/>
    <w:rsid w:val="59A0095D"/>
    <w:rsid w:val="59B83D2C"/>
    <w:rsid w:val="59BC506B"/>
    <w:rsid w:val="5A0A227A"/>
    <w:rsid w:val="5A3E6328"/>
    <w:rsid w:val="5A7C7EDA"/>
    <w:rsid w:val="5AF30F60"/>
    <w:rsid w:val="5AFE3B8D"/>
    <w:rsid w:val="5B547C51"/>
    <w:rsid w:val="5B6F69AA"/>
    <w:rsid w:val="5B907F42"/>
    <w:rsid w:val="5B921D27"/>
    <w:rsid w:val="5BCE7A03"/>
    <w:rsid w:val="5BE26022"/>
    <w:rsid w:val="5BEC7E8A"/>
    <w:rsid w:val="5C092664"/>
    <w:rsid w:val="5C907D2E"/>
    <w:rsid w:val="5CBB785C"/>
    <w:rsid w:val="5CCF0BC7"/>
    <w:rsid w:val="5D1A184B"/>
    <w:rsid w:val="5D287801"/>
    <w:rsid w:val="5D380EAD"/>
    <w:rsid w:val="5D3A69D3"/>
    <w:rsid w:val="5D8C1D5B"/>
    <w:rsid w:val="5DC63D78"/>
    <w:rsid w:val="5DCB3A0F"/>
    <w:rsid w:val="5E055781"/>
    <w:rsid w:val="5E2A2EEB"/>
    <w:rsid w:val="5E2E6801"/>
    <w:rsid w:val="5E385608"/>
    <w:rsid w:val="5E422C68"/>
    <w:rsid w:val="5E4D2736"/>
    <w:rsid w:val="5E9860A7"/>
    <w:rsid w:val="5EAD0FF3"/>
    <w:rsid w:val="5ECA4651"/>
    <w:rsid w:val="5EEE213C"/>
    <w:rsid w:val="5EFC4888"/>
    <w:rsid w:val="5F0B0627"/>
    <w:rsid w:val="5F557AF4"/>
    <w:rsid w:val="5F742670"/>
    <w:rsid w:val="5FD56E87"/>
    <w:rsid w:val="5FE5706B"/>
    <w:rsid w:val="60A800F7"/>
    <w:rsid w:val="60B17F0D"/>
    <w:rsid w:val="61025A59"/>
    <w:rsid w:val="61057C43"/>
    <w:rsid w:val="613F280A"/>
    <w:rsid w:val="61493688"/>
    <w:rsid w:val="61A65F2E"/>
    <w:rsid w:val="61AD6E4A"/>
    <w:rsid w:val="61E770BA"/>
    <w:rsid w:val="61EE05DC"/>
    <w:rsid w:val="6200468F"/>
    <w:rsid w:val="62785857"/>
    <w:rsid w:val="62851EF4"/>
    <w:rsid w:val="628A3F58"/>
    <w:rsid w:val="62913539"/>
    <w:rsid w:val="62B86D17"/>
    <w:rsid w:val="62DD10F7"/>
    <w:rsid w:val="633F11E7"/>
    <w:rsid w:val="63636DBE"/>
    <w:rsid w:val="63A4729C"/>
    <w:rsid w:val="6410048D"/>
    <w:rsid w:val="64265F03"/>
    <w:rsid w:val="6433146E"/>
    <w:rsid w:val="64777168"/>
    <w:rsid w:val="64925832"/>
    <w:rsid w:val="64B259E8"/>
    <w:rsid w:val="64DE058B"/>
    <w:rsid w:val="65111E03"/>
    <w:rsid w:val="652C46EF"/>
    <w:rsid w:val="65591F7B"/>
    <w:rsid w:val="65654809"/>
    <w:rsid w:val="65AC71A8"/>
    <w:rsid w:val="65B07321"/>
    <w:rsid w:val="662F5543"/>
    <w:rsid w:val="66703465"/>
    <w:rsid w:val="66881288"/>
    <w:rsid w:val="66E31E89"/>
    <w:rsid w:val="66F422E8"/>
    <w:rsid w:val="670562A3"/>
    <w:rsid w:val="6750691E"/>
    <w:rsid w:val="67654512"/>
    <w:rsid w:val="67A20623"/>
    <w:rsid w:val="67F105D6"/>
    <w:rsid w:val="67F325A4"/>
    <w:rsid w:val="683230C8"/>
    <w:rsid w:val="683D78D6"/>
    <w:rsid w:val="685017A0"/>
    <w:rsid w:val="68692862"/>
    <w:rsid w:val="687436E1"/>
    <w:rsid w:val="687731D1"/>
    <w:rsid w:val="68C53F3C"/>
    <w:rsid w:val="68CF31CA"/>
    <w:rsid w:val="693A47DD"/>
    <w:rsid w:val="695B664F"/>
    <w:rsid w:val="697D65C5"/>
    <w:rsid w:val="69A578CA"/>
    <w:rsid w:val="69CF257B"/>
    <w:rsid w:val="69DB11A3"/>
    <w:rsid w:val="69FA20F2"/>
    <w:rsid w:val="6A0A0D2D"/>
    <w:rsid w:val="6A335CEC"/>
    <w:rsid w:val="6A667059"/>
    <w:rsid w:val="6ACD01EA"/>
    <w:rsid w:val="6ACF2E50"/>
    <w:rsid w:val="6AD2649C"/>
    <w:rsid w:val="6AFC176B"/>
    <w:rsid w:val="6B2345D1"/>
    <w:rsid w:val="6B362E63"/>
    <w:rsid w:val="6B421874"/>
    <w:rsid w:val="6B517D09"/>
    <w:rsid w:val="6B62131E"/>
    <w:rsid w:val="6B9B71D6"/>
    <w:rsid w:val="6C635F46"/>
    <w:rsid w:val="6C8158EA"/>
    <w:rsid w:val="6C8B0FF9"/>
    <w:rsid w:val="6C900076"/>
    <w:rsid w:val="6D0668D1"/>
    <w:rsid w:val="6D4D62AE"/>
    <w:rsid w:val="6D867509"/>
    <w:rsid w:val="6D877A12"/>
    <w:rsid w:val="6D910891"/>
    <w:rsid w:val="6D9263B7"/>
    <w:rsid w:val="6DC04CD2"/>
    <w:rsid w:val="6DE035C6"/>
    <w:rsid w:val="6DF36E56"/>
    <w:rsid w:val="6E250FD9"/>
    <w:rsid w:val="6E343B9C"/>
    <w:rsid w:val="6E3F209B"/>
    <w:rsid w:val="6E906D9A"/>
    <w:rsid w:val="6EBD7464"/>
    <w:rsid w:val="6EBF142E"/>
    <w:rsid w:val="6ED16D9D"/>
    <w:rsid w:val="6EF70BC7"/>
    <w:rsid w:val="6F3B4F58"/>
    <w:rsid w:val="6F775864"/>
    <w:rsid w:val="6F8A04D3"/>
    <w:rsid w:val="6F8D5088"/>
    <w:rsid w:val="6FAF3250"/>
    <w:rsid w:val="6FCF355F"/>
    <w:rsid w:val="6FF45107"/>
    <w:rsid w:val="6FFE2E66"/>
    <w:rsid w:val="700E441B"/>
    <w:rsid w:val="707E01F0"/>
    <w:rsid w:val="707E5B7C"/>
    <w:rsid w:val="707F2C23"/>
    <w:rsid w:val="70B83E1C"/>
    <w:rsid w:val="70C11D5B"/>
    <w:rsid w:val="70EF0F1F"/>
    <w:rsid w:val="70F76C5D"/>
    <w:rsid w:val="713957AA"/>
    <w:rsid w:val="713D663A"/>
    <w:rsid w:val="713F6451"/>
    <w:rsid w:val="715776FB"/>
    <w:rsid w:val="71662BE7"/>
    <w:rsid w:val="71687B5B"/>
    <w:rsid w:val="71D903F5"/>
    <w:rsid w:val="720535FB"/>
    <w:rsid w:val="720E1687"/>
    <w:rsid w:val="7226545A"/>
    <w:rsid w:val="724D7E1B"/>
    <w:rsid w:val="72AA0928"/>
    <w:rsid w:val="72C708B1"/>
    <w:rsid w:val="72FA6191"/>
    <w:rsid w:val="7315161C"/>
    <w:rsid w:val="73191DEE"/>
    <w:rsid w:val="738B18DE"/>
    <w:rsid w:val="73CD6E07"/>
    <w:rsid w:val="73E444BF"/>
    <w:rsid w:val="73EA1964"/>
    <w:rsid w:val="740A4EF9"/>
    <w:rsid w:val="742F4960"/>
    <w:rsid w:val="74464009"/>
    <w:rsid w:val="749A65CD"/>
    <w:rsid w:val="7510653F"/>
    <w:rsid w:val="75153B55"/>
    <w:rsid w:val="751B4EE4"/>
    <w:rsid w:val="75501031"/>
    <w:rsid w:val="75736C40"/>
    <w:rsid w:val="75BB65FC"/>
    <w:rsid w:val="75CD4902"/>
    <w:rsid w:val="763652A6"/>
    <w:rsid w:val="76793892"/>
    <w:rsid w:val="76845A85"/>
    <w:rsid w:val="768F16E6"/>
    <w:rsid w:val="76B63116"/>
    <w:rsid w:val="76C410FF"/>
    <w:rsid w:val="76C70E7F"/>
    <w:rsid w:val="76CC72F4"/>
    <w:rsid w:val="76F1414E"/>
    <w:rsid w:val="771A5453"/>
    <w:rsid w:val="772F0D9E"/>
    <w:rsid w:val="77715DCF"/>
    <w:rsid w:val="778061D4"/>
    <w:rsid w:val="77937FD3"/>
    <w:rsid w:val="77CF2098"/>
    <w:rsid w:val="77E51F05"/>
    <w:rsid w:val="77FA07FD"/>
    <w:rsid w:val="77FE64CB"/>
    <w:rsid w:val="780E779F"/>
    <w:rsid w:val="7832055F"/>
    <w:rsid w:val="784327AD"/>
    <w:rsid w:val="784C680F"/>
    <w:rsid w:val="78702538"/>
    <w:rsid w:val="78D7114F"/>
    <w:rsid w:val="78E0091E"/>
    <w:rsid w:val="79046446"/>
    <w:rsid w:val="793F48BF"/>
    <w:rsid w:val="79985D3C"/>
    <w:rsid w:val="79D07837"/>
    <w:rsid w:val="7A2F56B9"/>
    <w:rsid w:val="7A4E1337"/>
    <w:rsid w:val="7A626F5E"/>
    <w:rsid w:val="7A8F7F06"/>
    <w:rsid w:val="7B11618B"/>
    <w:rsid w:val="7B594A24"/>
    <w:rsid w:val="7B775EB7"/>
    <w:rsid w:val="7B8437CC"/>
    <w:rsid w:val="7BBE3213"/>
    <w:rsid w:val="7CD460A4"/>
    <w:rsid w:val="7D38737D"/>
    <w:rsid w:val="7D9B4E14"/>
    <w:rsid w:val="7DE92023"/>
    <w:rsid w:val="7DFF31A8"/>
    <w:rsid w:val="7E0731A7"/>
    <w:rsid w:val="7E0B1F99"/>
    <w:rsid w:val="7E5A6A7D"/>
    <w:rsid w:val="7E851D4C"/>
    <w:rsid w:val="7E941F33"/>
    <w:rsid w:val="7E955D07"/>
    <w:rsid w:val="7EA67F14"/>
    <w:rsid w:val="7EE822DB"/>
    <w:rsid w:val="7F075DA6"/>
    <w:rsid w:val="7F6F193B"/>
    <w:rsid w:val="7F984657"/>
    <w:rsid w:val="7FEC7BA9"/>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bCs/>
    </w:rPr>
  </w:style>
  <w:style w:type="character" w:styleId="10">
    <w:name w:val="FollowedHyperlink"/>
    <w:basedOn w:val="8"/>
    <w:qFormat/>
    <w:uiPriority w:val="0"/>
    <w:rPr>
      <w:color w:val="800080"/>
      <w:u w:val="single"/>
    </w:rPr>
  </w:style>
  <w:style w:type="character" w:styleId="11">
    <w:name w:val="Hyperlink"/>
    <w:basedOn w:val="8"/>
    <w:qFormat/>
    <w:uiPriority w:val="0"/>
    <w:rPr>
      <w:color w:val="0000FF"/>
      <w:u w:val="single"/>
    </w:rPr>
  </w:style>
  <w:style w:type="paragraph" w:customStyle="1" w:styleId="12">
    <w:name w:val="p0"/>
    <w:basedOn w:val="1"/>
    <w:qFormat/>
    <w:uiPriority w:val="0"/>
    <w:pPr>
      <w:widowControl/>
    </w:pPr>
    <w:rPr>
      <w:rFonts w:ascii="Calibri" w:hAnsi="Calibri" w:eastAsia="宋体" w:cs="宋体"/>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7297</Words>
  <Characters>9364</Characters>
  <Lines>0</Lines>
  <Paragraphs>0</Paragraphs>
  <TotalTime>51</TotalTime>
  <ScaleCrop>false</ScaleCrop>
  <LinksUpToDate>false</LinksUpToDate>
  <CharactersWithSpaces>9391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2023-07-27T06:18:00Z</dcterms:created>
  <dc:creator>admin</dc:creator>
  <cp:lastModifiedBy>comet</cp:lastModifiedBy>
  <dcterms:modified xsi:type="dcterms:W3CDTF">2023-08-21T08:56:30Z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7A355885D54A4739BA0053903F6A4E83_13</vt:lpwstr>
  </property>
</Properties>
</file>