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center"/>
        <w:rPr>
          <w:rFonts w:ascii="方正小标宋简体" w:eastAsia="方正小标宋简体"/>
          <w:color w:val="auto"/>
          <w:w w:val="96"/>
          <w:sz w:val="44"/>
          <w:szCs w:val="44"/>
        </w:rPr>
      </w:pPr>
    </w:p>
    <w:p>
      <w:pPr>
        <w:shd w:val="clear" w:color="auto" w:fill="FFFFFF"/>
        <w:spacing w:line="600" w:lineRule="exact"/>
        <w:jc w:val="center"/>
        <w:rPr>
          <w:rFonts w:ascii="方正小标宋简体" w:hAnsi="微软雅黑" w:eastAsia="方正小标宋简体"/>
          <w:bCs/>
          <w:color w:val="auto"/>
          <w:w w:val="96"/>
          <w:sz w:val="44"/>
          <w:szCs w:val="44"/>
        </w:rPr>
      </w:pPr>
      <w:r>
        <w:rPr>
          <w:rFonts w:hint="eastAsia" w:ascii="方正小标宋简体" w:eastAsia="方正小标宋简体"/>
          <w:color w:val="auto"/>
          <w:w w:val="96"/>
          <w:sz w:val="44"/>
          <w:szCs w:val="44"/>
        </w:rPr>
        <w:t>六安市人民政府办公室</w:t>
      </w:r>
    </w:p>
    <w:p>
      <w:pPr>
        <w:shd w:val="clear" w:color="auto" w:fill="FFFFFF"/>
        <w:spacing w:line="600" w:lineRule="exact"/>
        <w:jc w:val="center"/>
        <w:rPr>
          <w:rFonts w:ascii="方正小标宋简体" w:hAnsi="微软雅黑" w:eastAsia="方正小标宋简体"/>
          <w:bCs/>
          <w:color w:val="auto"/>
          <w:sz w:val="44"/>
          <w:szCs w:val="44"/>
        </w:rPr>
      </w:pPr>
      <w:r>
        <w:rPr>
          <w:rFonts w:hint="eastAsia" w:ascii="方正小标宋简体" w:hAnsi="微软雅黑" w:eastAsia="方正小标宋简体"/>
          <w:bCs/>
          <w:color w:val="auto"/>
          <w:w w:val="96"/>
          <w:sz w:val="44"/>
          <w:szCs w:val="44"/>
        </w:rPr>
        <w:t>关于贯彻落实国家基本药物制度的实施意见</w:t>
      </w:r>
    </w:p>
    <w:p>
      <w:pPr>
        <w:shd w:val="clear" w:color="auto" w:fill="FFFFFF"/>
        <w:spacing w:line="600" w:lineRule="exact"/>
        <w:jc w:val="center"/>
        <w:rPr>
          <w:rFonts w:ascii="楷体_GB2312" w:hAnsi="黑体" w:eastAsia="楷体_GB2312"/>
          <w:b/>
          <w:color w:val="auto"/>
        </w:rPr>
      </w:pPr>
      <w:r>
        <w:rPr>
          <w:rFonts w:hint="eastAsia" w:ascii="楷体_GB2312" w:hAnsi="黑体" w:eastAsia="楷体_GB2312"/>
          <w:b/>
          <w:color w:val="auto"/>
        </w:rPr>
        <w:t>（征求意见稿）</w:t>
      </w:r>
    </w:p>
    <w:p>
      <w:pPr>
        <w:shd w:val="clear" w:color="auto" w:fill="FFFFFF"/>
        <w:spacing w:line="600" w:lineRule="exact"/>
        <w:jc w:val="center"/>
        <w:rPr>
          <w:color w:val="auto"/>
        </w:rPr>
      </w:pPr>
    </w:p>
    <w:p>
      <w:pPr>
        <w:shd w:val="clear" w:color="auto" w:fill="FFFFFF"/>
        <w:spacing w:line="600" w:lineRule="exact"/>
        <w:rPr>
          <w:color w:val="auto"/>
        </w:rPr>
      </w:pPr>
      <w:r>
        <w:rPr>
          <w:rFonts w:hint="eastAsia"/>
          <w:color w:val="auto"/>
        </w:rPr>
        <w:t>各县区人民政府、开发区管委，市政府各部门：</w:t>
      </w:r>
    </w:p>
    <w:p>
      <w:pPr>
        <w:shd w:val="clear" w:color="auto" w:fill="FFFFFF"/>
        <w:spacing w:line="600" w:lineRule="exact"/>
        <w:ind w:firstLine="640"/>
        <w:rPr>
          <w:rFonts w:hAnsi="宋体"/>
          <w:color w:val="auto"/>
          <w:sz w:val="24"/>
          <w:szCs w:val="24"/>
        </w:rPr>
      </w:pPr>
      <w:r>
        <w:rPr>
          <w:rFonts w:hint="eastAsia"/>
          <w:color w:val="auto"/>
        </w:rPr>
        <w:t>为深入贯彻落实《安徽省人民政府办公厅关于完善国家基本药物制度的实施意见》（皖政办〔2018〕59号），经市政府同意，提出如下贯彻落实意见。</w:t>
      </w:r>
    </w:p>
    <w:p>
      <w:pPr>
        <w:shd w:val="clear" w:color="auto" w:fill="FFFFFF"/>
        <w:spacing w:line="600" w:lineRule="exact"/>
        <w:ind w:firstLine="640"/>
        <w:rPr>
          <w:rFonts w:ascii="黑体" w:hAnsi="黑体" w:eastAsia="黑体"/>
          <w:color w:val="auto"/>
        </w:rPr>
      </w:pPr>
      <w:r>
        <w:rPr>
          <w:rFonts w:hint="eastAsia" w:ascii="黑体" w:hAnsi="黑体" w:eastAsia="黑体"/>
          <w:color w:val="auto"/>
        </w:rPr>
        <w:t>一、充分认识国家基本药物制度的重要意义</w:t>
      </w:r>
    </w:p>
    <w:p>
      <w:pPr>
        <w:shd w:val="clear" w:color="auto" w:fill="FFFFFF"/>
        <w:spacing w:line="600" w:lineRule="exact"/>
        <w:ind w:firstLine="640"/>
        <w:rPr>
          <w:color w:val="auto"/>
        </w:rPr>
      </w:pPr>
      <w:r>
        <w:rPr>
          <w:rFonts w:hint="eastAsia"/>
          <w:color w:val="auto"/>
        </w:rPr>
        <w:t>国家基本药物制度是坚持以人民健康为中心，强化基本药物“突出基本、防治必需、保障供应、优先使用、保证质量、降低负担”的功能定位，从基本药物的生产、流通、使用、支付、监测等环节完善政策，全面带动药品供应保障体系建设的制度。国家基本药物制度是药品供应保障体系的基础，是医疗卫生领域基本公共服务的重要内容。落实好国家基本药物制度能够保障药品安全有效、价格合理、供应充分，能够缓解“看病贵”问题，能够促进上下级医疗机构用药衔接，助力分级诊疗制度建设，推动医药产业转型升级和供给侧结构性改革，加快推进全面深化医药卫生体制改革。</w:t>
      </w:r>
    </w:p>
    <w:p>
      <w:pPr>
        <w:shd w:val="clear" w:color="auto" w:fill="FFFFFF"/>
        <w:spacing w:line="600" w:lineRule="exact"/>
        <w:ind w:firstLine="640"/>
        <w:rPr>
          <w:rFonts w:ascii="黑体" w:hAnsi="黑体" w:eastAsia="黑体"/>
          <w:color w:val="auto"/>
        </w:rPr>
      </w:pPr>
      <w:r>
        <w:rPr>
          <w:rFonts w:hint="eastAsia" w:ascii="黑体" w:hAnsi="黑体" w:eastAsia="黑体"/>
          <w:color w:val="auto"/>
        </w:rPr>
        <w:t>二、落实好国家基本药物制度各项工作</w:t>
      </w:r>
    </w:p>
    <w:p>
      <w:pPr>
        <w:shd w:val="clear" w:color="auto" w:fill="FFFFFF"/>
        <w:spacing w:line="600" w:lineRule="exact"/>
        <w:ind w:firstLine="640"/>
        <w:rPr>
          <w:rFonts w:ascii="楷体_GB2312" w:hAnsi="黑体" w:eastAsia="楷体_GB2312"/>
          <w:b/>
          <w:color w:val="auto"/>
        </w:rPr>
      </w:pPr>
      <w:r>
        <w:rPr>
          <w:rFonts w:hint="eastAsia" w:ascii="楷体_GB2312" w:hAnsi="黑体" w:eastAsia="楷体_GB2312"/>
          <w:b/>
          <w:color w:val="auto"/>
        </w:rPr>
        <w:t>（一）全面配备优先使用</w:t>
      </w:r>
    </w:p>
    <w:p>
      <w:pPr>
        <w:shd w:val="clear" w:color="auto" w:fill="FFFFFF"/>
        <w:spacing w:line="600" w:lineRule="exact"/>
        <w:ind w:firstLine="640"/>
        <w:rPr>
          <w:color w:val="auto"/>
        </w:rPr>
      </w:pPr>
      <w:r>
        <w:rPr>
          <w:rFonts w:hint="eastAsia"/>
          <w:b/>
          <w:bCs/>
          <w:color w:val="auto"/>
        </w:rPr>
        <w:t>1、规范遴选基本药物。</w:t>
      </w:r>
      <w:r>
        <w:rPr>
          <w:rFonts w:hint="eastAsia"/>
          <w:color w:val="auto"/>
        </w:rPr>
        <w:t>医疗机构要坚持以国家基本药物为主，以诊疗规范、临床诊疗指南和专家共识为依据，综合药品临床应用实践、药品标准变化、药品新上市情况等因素，中西药并重，科学遴选、合理配备临床需要的基本药物品种，规范基本药物的遴选配备。国家基本药物优先进入医疗机构的采购目录，简化入院程序。</w:t>
      </w:r>
    </w:p>
    <w:p>
      <w:pPr>
        <w:shd w:val="clear" w:color="auto" w:fill="FFFFFF"/>
        <w:spacing w:line="600" w:lineRule="exact"/>
        <w:ind w:firstLine="640"/>
        <w:rPr>
          <w:color w:val="auto"/>
        </w:rPr>
      </w:pPr>
      <w:r>
        <w:rPr>
          <w:rFonts w:hint="eastAsia"/>
          <w:b/>
          <w:bCs/>
          <w:color w:val="auto"/>
        </w:rPr>
        <w:t>2、全面配备优先使用。</w:t>
      </w:r>
      <w:r>
        <w:rPr>
          <w:rFonts w:hint="eastAsia"/>
          <w:color w:val="auto"/>
        </w:rPr>
        <w:t>医疗机构要坚持基本药物主导地位，全面配备、优先使用，不断提高医疗机构基本药物使用量。在不低于省定使用比例标准的基础上，我市公立三级医疗机构、二级医疗机构、基层医疗机构采购国家基本药物金额占总金额比例力争达到50%、70%、90%。鼓励其他医疗机构配备使用基本药物。医疗机构优先采购和使用通过一致性评价、价格适宜的基本药物。</w:t>
      </w:r>
    </w:p>
    <w:p>
      <w:pPr>
        <w:shd w:val="clear" w:color="auto" w:fill="FFFFFF"/>
        <w:spacing w:line="600" w:lineRule="exact"/>
        <w:ind w:firstLine="640"/>
        <w:rPr>
          <w:b/>
          <w:color w:val="auto"/>
        </w:rPr>
      </w:pPr>
      <w:r>
        <w:rPr>
          <w:rFonts w:hint="eastAsia"/>
          <w:b/>
          <w:bCs/>
          <w:color w:val="auto"/>
        </w:rPr>
        <w:t>3、建立优先使用奖惩机制。</w:t>
      </w:r>
      <w:r>
        <w:rPr>
          <w:rFonts w:hint="eastAsia"/>
          <w:color w:val="auto"/>
        </w:rPr>
        <w:t>医疗机构要科学设置临床科室基本药物使用指标，并纳入对科室和人员考核，与医务人员个人薪酬绩效挂钩。将基本药物使用情况纳入医疗机构绩效考核指标体系，考核结果与公立医院综合改革奖补资金、基层实施基本药物制度补助资金等拨付挂钩。通过制定药品医保支付标准等方式，引导医疗机构和医务人员合理用药。将基本药物使用情况作为处方点评的重点内容，对无正当理由不首选基本药物的单位和个人予以通报。</w:t>
      </w:r>
      <w:r>
        <w:rPr>
          <w:rFonts w:hint="eastAsia"/>
          <w:b/>
          <w:color w:val="auto"/>
        </w:rPr>
        <w:t>（责任单位：市卫生健康委、市医保局、市财政局、市市场监管局。列在第一位的为牵头单位，下同</w:t>
      </w:r>
      <w:r>
        <w:rPr>
          <w:b/>
          <w:color w:val="auto"/>
        </w:rPr>
        <w:t>）</w:t>
      </w:r>
    </w:p>
    <w:p>
      <w:pPr>
        <w:shd w:val="clear" w:color="auto" w:fill="FFFFFF"/>
        <w:spacing w:line="600" w:lineRule="exact"/>
        <w:ind w:firstLine="640"/>
        <w:rPr>
          <w:b/>
          <w:color w:val="auto"/>
        </w:rPr>
      </w:pPr>
      <w:r>
        <w:rPr>
          <w:rFonts w:hint="eastAsia"/>
          <w:b/>
          <w:color w:val="auto"/>
        </w:rPr>
        <w:t>4、开展临床使用监测。</w:t>
      </w:r>
      <w:r>
        <w:rPr>
          <w:rFonts w:hint="eastAsia"/>
          <w:color w:val="auto"/>
        </w:rPr>
        <w:t>依托现有的药品使用监测平台及全省三级监测网络体系，重点监测医疗机构基本药物的配备品种、使用数量、采购价格、供应配送及处方用药是否符合诊疗规范等信息。加强部门信息互联互通，对基本药物从原料供应到生产、流通、使用、价格、报销等实行全过程动态监测。</w:t>
      </w:r>
      <w:r>
        <w:rPr>
          <w:rFonts w:hint="eastAsia"/>
          <w:b/>
          <w:color w:val="auto"/>
        </w:rPr>
        <w:t>（责任单位：市卫生健康委、市医保局、市财政局、</w:t>
      </w:r>
      <w:r>
        <w:rPr>
          <w:rFonts w:hint="eastAsia"/>
          <w:b/>
          <w:color w:val="auto"/>
        </w:rPr>
        <w:t>市经信局、</w:t>
      </w:r>
      <w:r>
        <w:rPr>
          <w:rFonts w:hint="eastAsia"/>
          <w:b/>
          <w:color w:val="auto"/>
        </w:rPr>
        <w:t>市商务局、市市场监管局</w:t>
      </w:r>
      <w:r>
        <w:rPr>
          <w:b/>
          <w:color w:val="auto"/>
        </w:rPr>
        <w:t>）</w:t>
      </w:r>
    </w:p>
    <w:p>
      <w:pPr>
        <w:shd w:val="clear" w:color="auto" w:fill="FFFFFF"/>
        <w:spacing w:line="600" w:lineRule="exact"/>
        <w:ind w:firstLine="640"/>
        <w:rPr>
          <w:rFonts w:ascii="楷体_GB2312" w:hAnsi="黑体" w:eastAsia="楷体_GB2312"/>
          <w:b/>
          <w:color w:val="auto"/>
        </w:rPr>
      </w:pPr>
      <w:r>
        <w:rPr>
          <w:rFonts w:hint="eastAsia" w:ascii="楷体_GB2312" w:hAnsi="黑体" w:eastAsia="楷体_GB2312"/>
          <w:b/>
          <w:color w:val="auto"/>
        </w:rPr>
        <w:t>（二）切实保障生产供应</w:t>
      </w:r>
    </w:p>
    <w:p>
      <w:pPr>
        <w:shd w:val="clear" w:color="auto" w:fill="FFFFFF"/>
        <w:spacing w:line="600" w:lineRule="exact"/>
        <w:ind w:firstLine="640"/>
        <w:rPr>
          <w:color w:val="auto"/>
        </w:rPr>
      </w:pPr>
      <w:r>
        <w:rPr>
          <w:rFonts w:hint="eastAsia"/>
          <w:b/>
          <w:bCs/>
          <w:color w:val="auto"/>
        </w:rPr>
        <w:t>5、提高有效供给能力</w:t>
      </w:r>
      <w:r>
        <w:rPr>
          <w:rFonts w:hint="eastAsia"/>
          <w:color w:val="auto"/>
        </w:rPr>
        <w:t>。把实施基本药物制度作为完善医药产业政策和行业发展规划的重要内容，积极推进落实省市政府关于支持现代医疗和医药产业发展的若干政策，鼓励创新研发与促进药品仿制生产并重，鼓励企业技术进步和技术改造，推动药品流通行业兼并重组、转型升级，加快发展药品现代物流，引导“互联网+药品流通”规范发展。</w:t>
      </w:r>
      <w:r>
        <w:rPr>
          <w:rFonts w:hint="eastAsia"/>
          <w:b/>
          <w:color w:val="auto"/>
        </w:rPr>
        <w:t>（责任单位：市发改委、市经信局、市财政局、市商务局、市卫生健康委、市市场监管局、市医保局）</w:t>
      </w:r>
    </w:p>
    <w:p>
      <w:pPr>
        <w:shd w:val="clear" w:color="auto" w:fill="FFFFFF"/>
        <w:spacing w:line="600" w:lineRule="exact"/>
        <w:ind w:firstLine="640"/>
        <w:rPr>
          <w:color w:val="auto"/>
        </w:rPr>
      </w:pPr>
      <w:r>
        <w:rPr>
          <w:rFonts w:hint="eastAsia"/>
          <w:b/>
          <w:bCs/>
          <w:color w:val="auto"/>
        </w:rPr>
        <w:t>6、完善采购配送机制。</w:t>
      </w:r>
      <w:r>
        <w:rPr>
          <w:rFonts w:hint="eastAsia"/>
          <w:color w:val="auto"/>
        </w:rPr>
        <w:t>坚持集中采购方向，落实药品分类采购，引导形成合理价格。做好上下级医疗机构用药衔接，以紧密型医联体、县域医共体为单位，逐渐统一、整合药品使用目录，开展全市药品集中带量采购工作。探索开展国家基本药物专项集中采购、跨区域联合采购、单品种带量采购等模式。生产企业作为保障药物供应配送的第一责任单位，应切实履行合同，尤其要保障偏远、交通不便地区的药品配送。因企业原因造成用药短缺，企业应承担责任，并列入失信记录。医保部门应当严格按照协议约定及时向医疗机构拨付医保资金。医疗机构应当严格按照合同约定及时结算货款；拖延货款的，要通报批评，并责令限期整改。</w:t>
      </w:r>
      <w:r>
        <w:rPr>
          <w:rFonts w:hint="eastAsia"/>
          <w:b/>
          <w:color w:val="auto"/>
        </w:rPr>
        <w:t>（责任单位：市医保局、市卫生健康委、市发改委、市财政局、市商务局、市市场监管局）</w:t>
      </w:r>
    </w:p>
    <w:p>
      <w:pPr>
        <w:shd w:val="clear" w:color="auto" w:fill="FFFFFF"/>
        <w:spacing w:line="600" w:lineRule="exact"/>
        <w:ind w:firstLine="640"/>
        <w:rPr>
          <w:color w:val="auto"/>
        </w:rPr>
      </w:pPr>
      <w:r>
        <w:rPr>
          <w:rFonts w:hint="eastAsia"/>
          <w:b/>
          <w:bCs/>
          <w:color w:val="auto"/>
        </w:rPr>
        <w:t>7、加强短缺预警应对。</w:t>
      </w:r>
      <w:r>
        <w:rPr>
          <w:rFonts w:hint="eastAsia"/>
          <w:color w:val="auto"/>
        </w:rPr>
        <w:t>完善医疗机构短缺药品信息网络直报工作，综合研判潜在短缺原因，及时上报信息。完善会商联动机制，加强部门间信息互联互通，通报短缺药品监测信息，分类施策，及时处置区域内短缺药品的问题。对垄断原料市场和推高药价导致药品短缺的行为，依法开展反垄断调查，加大处罚力度。在省统一安排下，实施临床使用监测。</w:t>
      </w:r>
      <w:r>
        <w:rPr>
          <w:rFonts w:hint="eastAsia"/>
          <w:b/>
          <w:color w:val="auto"/>
        </w:rPr>
        <w:t>（责任单位：市卫生健康委、市医保局、市经信局、市财政局、市商务局、市市场监管局）</w:t>
      </w:r>
    </w:p>
    <w:p>
      <w:pPr>
        <w:shd w:val="clear" w:color="auto" w:fill="FFFFFF"/>
        <w:spacing w:line="600" w:lineRule="exact"/>
        <w:ind w:firstLine="640"/>
        <w:rPr>
          <w:rFonts w:ascii="楷体_GB2312" w:hAnsi="黑体" w:eastAsia="楷体_GB2312"/>
          <w:b/>
          <w:color w:val="auto"/>
        </w:rPr>
      </w:pPr>
      <w:r>
        <w:rPr>
          <w:rFonts w:hint="eastAsia" w:ascii="楷体_GB2312" w:hAnsi="黑体" w:eastAsia="楷体_GB2312"/>
          <w:b/>
          <w:color w:val="auto"/>
        </w:rPr>
        <w:t>（三）降低群众用药负担</w:t>
      </w:r>
    </w:p>
    <w:p>
      <w:pPr>
        <w:shd w:val="clear" w:color="auto" w:fill="FFFFFF"/>
        <w:spacing w:line="600" w:lineRule="exact"/>
        <w:ind w:firstLine="640"/>
        <w:rPr>
          <w:color w:val="auto"/>
        </w:rPr>
      </w:pPr>
      <w:r>
        <w:rPr>
          <w:rFonts w:hint="eastAsia"/>
          <w:b/>
          <w:bCs/>
          <w:color w:val="auto"/>
        </w:rPr>
        <w:t>8、逐步提高实际保障水平。</w:t>
      </w:r>
      <w:r>
        <w:rPr>
          <w:rFonts w:hint="eastAsia"/>
          <w:color w:val="auto"/>
        </w:rPr>
        <w:t>完善医保支付政策，对基本药物目录内的治疗性药品，医保部门在调整医保目录时，按程序将符合条件的优先纳入目录范围或调整甲乙分类，逐步提高实际保障水平。对于国家免疫规划疫苗、抗艾滋病、结核病、寄生虫病等重大公卫防治的基本药物，加大政府投入力度，降低群众用药负担。</w:t>
      </w:r>
      <w:r>
        <w:rPr>
          <w:rFonts w:hint="eastAsia"/>
          <w:b/>
          <w:color w:val="auto"/>
        </w:rPr>
        <w:t>（责任单位：市医保局、市卫生健康委、市财政局）</w:t>
      </w:r>
    </w:p>
    <w:p>
      <w:pPr>
        <w:shd w:val="clear" w:color="auto" w:fill="FFFFFF"/>
        <w:spacing w:line="600" w:lineRule="exact"/>
        <w:ind w:firstLine="640"/>
        <w:rPr>
          <w:color w:val="auto"/>
        </w:rPr>
      </w:pPr>
      <w:r>
        <w:rPr>
          <w:rFonts w:hint="eastAsia"/>
          <w:b/>
          <w:bCs/>
          <w:color w:val="auto"/>
        </w:rPr>
        <w:t>9、完善低价药管理。</w:t>
      </w:r>
      <w:r>
        <w:rPr>
          <w:rFonts w:hint="eastAsia"/>
          <w:color w:val="auto"/>
        </w:rPr>
        <w:t>在现行“</w:t>
      </w:r>
      <w:r>
        <w:rPr>
          <w:rFonts w:hint="eastAsia"/>
          <w:color w:val="auto"/>
        </w:rPr>
        <w:t>公立医院低价药采购目录动态管理系统”</w:t>
      </w:r>
      <w:r>
        <w:rPr>
          <w:rFonts w:hint="eastAsia"/>
          <w:color w:val="auto"/>
        </w:rPr>
        <w:t>基础上，建立低价药并联审核机制，联网审核申报企业销售低价药品的价格、低价药使用说明书、</w:t>
      </w:r>
      <w:bookmarkStart w:id="0" w:name="_GoBack"/>
      <w:r>
        <w:rPr>
          <w:rFonts w:hint="eastAsia"/>
          <w:color w:val="auto"/>
        </w:rPr>
        <w:t>税</w:t>
      </w:r>
      <w:bookmarkEnd w:id="0"/>
      <w:r>
        <w:rPr>
          <w:rFonts w:hint="eastAsia"/>
          <w:color w:val="auto"/>
        </w:rPr>
        <w:t>务发票等信息的真实性，对签约合同履约、供应过程实施监管，健全低价药动态调整机制。对价格变动频繁、幅度较大的，适时开展专项调查，对价格垄断、欺诈、串通等违法行为依法予以查处。</w:t>
      </w:r>
      <w:r>
        <w:rPr>
          <w:rFonts w:hint="eastAsia"/>
          <w:b/>
          <w:color w:val="auto"/>
        </w:rPr>
        <w:t>（责任单位：市医保局、市市场监管局、市卫生健康委、市税务局</w:t>
      </w:r>
      <w:r>
        <w:rPr>
          <w:rFonts w:hint="eastAsia"/>
          <w:color w:val="auto"/>
        </w:rPr>
        <w:t>）</w:t>
      </w:r>
    </w:p>
    <w:p>
      <w:pPr>
        <w:shd w:val="clear" w:color="auto" w:fill="FFFFFF"/>
        <w:spacing w:line="600" w:lineRule="exact"/>
        <w:ind w:firstLine="640"/>
        <w:rPr>
          <w:color w:val="auto"/>
        </w:rPr>
      </w:pPr>
      <w:r>
        <w:rPr>
          <w:rFonts w:hint="eastAsia"/>
          <w:b/>
          <w:bCs/>
          <w:color w:val="auto"/>
        </w:rPr>
        <w:t>10、探索减轻患者负担的有效形式。</w:t>
      </w:r>
      <w:r>
        <w:rPr>
          <w:rFonts w:hint="eastAsia"/>
          <w:color w:val="auto"/>
        </w:rPr>
        <w:t>探索将基本药物制度与分级诊疗、家庭医生签约服务、慢性病健康管理等有机结合，在高血压、糖尿病、严重精神障碍等慢性病管理中，在保证药效前提下优先使用基本药物，最大程度减少患者药费支出，增强群众获得感。</w:t>
      </w:r>
      <w:r>
        <w:rPr>
          <w:rFonts w:hint="eastAsia"/>
          <w:b/>
          <w:color w:val="auto"/>
        </w:rPr>
        <w:t>（责任单位：市卫生健康委、市医保局、市财政局）</w:t>
      </w:r>
    </w:p>
    <w:p>
      <w:pPr>
        <w:shd w:val="clear" w:color="auto" w:fill="FFFFFF"/>
        <w:spacing w:line="600" w:lineRule="exact"/>
        <w:ind w:firstLine="640"/>
        <w:rPr>
          <w:rFonts w:ascii="楷体_GB2312" w:hAnsi="黑体" w:eastAsia="楷体_GB2312"/>
          <w:b/>
          <w:color w:val="auto"/>
        </w:rPr>
      </w:pPr>
      <w:r>
        <w:rPr>
          <w:rFonts w:hint="eastAsia" w:ascii="楷体_GB2312" w:hAnsi="黑体" w:eastAsia="楷体_GB2312"/>
          <w:b/>
          <w:color w:val="auto"/>
        </w:rPr>
        <w:t>（四）提升质量安全水平</w:t>
      </w:r>
    </w:p>
    <w:p>
      <w:pPr>
        <w:shd w:val="clear" w:color="auto" w:fill="FFFFFF"/>
        <w:spacing w:line="600" w:lineRule="exact"/>
        <w:ind w:firstLine="640"/>
        <w:rPr>
          <w:color w:val="auto"/>
        </w:rPr>
      </w:pPr>
      <w:r>
        <w:rPr>
          <w:rFonts w:hint="eastAsia"/>
          <w:b/>
          <w:bCs/>
          <w:color w:val="auto"/>
        </w:rPr>
        <w:t>11、强化质量安全监管。</w:t>
      </w:r>
      <w:r>
        <w:rPr>
          <w:rFonts w:hint="eastAsia"/>
          <w:color w:val="auto"/>
        </w:rPr>
        <w:t>全面实施并严格执行《药品生产质量管理规范》（GMP）和《药品经营质量管理规范》（GSP），完善全生命周期和全产业链质量管理体系。对基本药物实施全品种覆盖抽检，向社会及时公布抽检结果。建立完善药品生产、流通、使用信息追溯体系，加强基本药物不良反应监测，强化药品安全预警和应急处置机制。加强对基本药物生产环节的监督检查，督查企业依法合规生产，保证质量，严肃查处数据造假、擅自改变生产工艺、偷工减料、掺杂造假等违法违规行为。</w:t>
      </w:r>
      <w:r>
        <w:rPr>
          <w:rFonts w:hint="eastAsia"/>
          <w:b/>
          <w:color w:val="auto"/>
        </w:rPr>
        <w:t>（责任单位：市市场监管局、市卫生健康委）</w:t>
      </w:r>
    </w:p>
    <w:p>
      <w:pPr>
        <w:shd w:val="clear" w:color="auto" w:fill="FFFFFF"/>
        <w:spacing w:line="600" w:lineRule="exact"/>
        <w:ind w:firstLine="640"/>
        <w:rPr>
          <w:rFonts w:ascii="黑体" w:hAnsi="黑体" w:eastAsia="黑体"/>
          <w:color w:val="auto"/>
        </w:rPr>
      </w:pPr>
      <w:r>
        <w:rPr>
          <w:rFonts w:hint="eastAsia" w:ascii="黑体" w:hAnsi="黑体" w:eastAsia="黑体"/>
          <w:color w:val="auto"/>
        </w:rPr>
        <w:t>三、强化组织领导，保障贯彻落实</w:t>
      </w:r>
    </w:p>
    <w:p>
      <w:pPr>
        <w:shd w:val="clear" w:color="auto" w:fill="FFFFFF"/>
        <w:spacing w:line="600" w:lineRule="exact"/>
        <w:ind w:firstLine="640"/>
        <w:rPr>
          <w:color w:val="auto"/>
        </w:rPr>
      </w:pPr>
      <w:r>
        <w:rPr>
          <w:rFonts w:hint="eastAsia" w:ascii="楷体_GB2312" w:hAnsi="黑体" w:eastAsia="楷体_GB2312"/>
          <w:b/>
          <w:color w:val="auto"/>
        </w:rPr>
        <w:t>（一）加强组织领导和协调配合。</w:t>
      </w:r>
      <w:r>
        <w:rPr>
          <w:rFonts w:hint="eastAsia"/>
          <w:color w:val="auto"/>
        </w:rPr>
        <w:t>落实领导责任、保障责任、管理责任、监督责任，将国家基本药物制度实施情况纳入政府绩效考核体系，确保取得实效。相关部门要细化政策措施，健全长效机制，加强协作配合，形成工作合力。</w:t>
      </w:r>
      <w:r>
        <w:rPr>
          <w:rFonts w:hint="eastAsia"/>
          <w:b/>
          <w:color w:val="auto"/>
        </w:rPr>
        <w:t>（责任单位：各县区政府、市卫生健康委、市医保局、市发改委、市财政局、市经信局、市商务局、市市场监管局）</w:t>
      </w:r>
    </w:p>
    <w:p>
      <w:pPr>
        <w:shd w:val="clear" w:color="auto" w:fill="FFFFFF"/>
        <w:spacing w:line="600" w:lineRule="exact"/>
        <w:ind w:firstLine="640"/>
        <w:rPr>
          <w:b/>
          <w:color w:val="auto"/>
        </w:rPr>
      </w:pPr>
      <w:r>
        <w:rPr>
          <w:rFonts w:hint="eastAsia" w:ascii="楷体_GB2312" w:hAnsi="黑体" w:eastAsia="楷体_GB2312"/>
          <w:b/>
          <w:color w:val="auto"/>
        </w:rPr>
        <w:t>（二）加强督导评估和总结推广。</w:t>
      </w:r>
      <w:r>
        <w:rPr>
          <w:rFonts w:hint="eastAsia"/>
          <w:color w:val="auto"/>
        </w:rPr>
        <w:t>建立健全基本药物制度实施督导评估制度，探索第三方开展评估，强化结果运用，根据督导评估结果及时完善基本药物制度相关政策。各地结合实际，重点围绕保障基本药物供应和优先使用、降低群众负担等方面，探索有效做法，及时总结推广。</w:t>
      </w:r>
      <w:r>
        <w:rPr>
          <w:rFonts w:hint="eastAsia"/>
          <w:b/>
          <w:color w:val="auto"/>
        </w:rPr>
        <w:t>（责任单位：市卫生健康委、市医保局、各县区政府）</w:t>
      </w:r>
    </w:p>
    <w:p>
      <w:pPr>
        <w:shd w:val="clear" w:color="auto" w:fill="FFFFFF"/>
        <w:spacing w:line="600" w:lineRule="exact"/>
        <w:ind w:firstLine="640"/>
        <w:rPr>
          <w:color w:val="auto"/>
        </w:rPr>
      </w:pPr>
      <w:r>
        <w:rPr>
          <w:rFonts w:hint="eastAsia" w:ascii="楷体_GB2312" w:hAnsi="黑体" w:eastAsia="楷体_GB2312"/>
          <w:b/>
          <w:color w:val="auto"/>
        </w:rPr>
        <w:t>（三）加强学习培训和宣传引导。</w:t>
      </w:r>
      <w:r>
        <w:rPr>
          <w:rFonts w:hint="eastAsia"/>
          <w:color w:val="auto"/>
        </w:rPr>
        <w:t>各级要广泛开展对医师、药师和管理人员的基本药物制度和基本药物临床应用指南、处方集的培训，提高基本药物合理使用和管理水平，改变不合理用药习惯，推动基本药物优先使用。通过电视、广播、报刊、网络等多种渠道广泛宣传基本药物制度目标定位、重要意义和政策措施，合理引导社会预期，营造基本药物制度实施的良好社会氛围。</w:t>
      </w:r>
      <w:r>
        <w:rPr>
          <w:rFonts w:hint="eastAsia"/>
          <w:b/>
          <w:color w:val="auto"/>
        </w:rPr>
        <w:t>（责任单位：市卫生健康委、市医保局、市市场监管局、各县区政府）</w:t>
      </w:r>
    </w:p>
    <w:p>
      <w:pPr>
        <w:spacing w:line="600" w:lineRule="exact"/>
        <w:rPr>
          <w:color w:val="auto"/>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21583"/>
    </w:sdtPr>
    <w:sdtContent>
      <w:p>
        <w:pPr>
          <w:pStyle w:val="12"/>
          <w:jc w:val="center"/>
        </w:pPr>
        <w:r>
          <w:rPr>
            <w:rFonts w:hint="eastAsia" w:ascii="楷体_GB2312" w:eastAsia="楷体_GB2312"/>
            <w:sz w:val="32"/>
            <w:szCs w:val="32"/>
          </w:rPr>
          <w:fldChar w:fldCharType="begin"/>
        </w:r>
        <w:r>
          <w:rPr>
            <w:rFonts w:hint="eastAsia" w:ascii="楷体_GB2312" w:eastAsia="楷体_GB2312"/>
            <w:sz w:val="32"/>
            <w:szCs w:val="32"/>
          </w:rPr>
          <w:instrText xml:space="preserve"> PAGE   \* MERGEFORMAT </w:instrText>
        </w:r>
        <w:r>
          <w:rPr>
            <w:rFonts w:hint="eastAsia" w:ascii="楷体_GB2312" w:eastAsia="楷体_GB2312"/>
            <w:sz w:val="32"/>
            <w:szCs w:val="32"/>
          </w:rPr>
          <w:fldChar w:fldCharType="separate"/>
        </w:r>
        <w:r>
          <w:rPr>
            <w:rFonts w:ascii="楷体_GB2312" w:eastAsia="楷体_GB2312"/>
            <w:sz w:val="32"/>
            <w:szCs w:val="32"/>
            <w:lang w:val="zh-CN"/>
          </w:rPr>
          <w:t>-</w:t>
        </w:r>
        <w:r>
          <w:rPr>
            <w:rFonts w:ascii="楷体_GB2312" w:eastAsia="楷体_GB2312"/>
            <w:sz w:val="32"/>
            <w:szCs w:val="32"/>
          </w:rPr>
          <w:t xml:space="preserve"> 7 -</w:t>
        </w:r>
        <w:r>
          <w:rPr>
            <w:rFonts w:hint="eastAsia" w:ascii="楷体_GB2312" w:eastAsia="楷体_GB2312"/>
            <w:sz w:val="32"/>
            <w:szCs w:val="32"/>
          </w:rPr>
          <w:fldChar w:fldCharType="end"/>
        </w:r>
      </w:p>
    </w:sdtContent>
  </w:sdt>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50"/>
    <w:rsid w:val="00013A4F"/>
    <w:rsid w:val="00020E5F"/>
    <w:rsid w:val="00025DB8"/>
    <w:rsid w:val="000338C7"/>
    <w:rsid w:val="000365F9"/>
    <w:rsid w:val="00047773"/>
    <w:rsid w:val="0005011A"/>
    <w:rsid w:val="00053C2E"/>
    <w:rsid w:val="00060DB2"/>
    <w:rsid w:val="0007595F"/>
    <w:rsid w:val="000825D4"/>
    <w:rsid w:val="0008395B"/>
    <w:rsid w:val="000A215F"/>
    <w:rsid w:val="000A592E"/>
    <w:rsid w:val="000B51DF"/>
    <w:rsid w:val="000B54CA"/>
    <w:rsid w:val="000C7308"/>
    <w:rsid w:val="000D1953"/>
    <w:rsid w:val="00112411"/>
    <w:rsid w:val="001258F2"/>
    <w:rsid w:val="00126C96"/>
    <w:rsid w:val="001431E4"/>
    <w:rsid w:val="0015430D"/>
    <w:rsid w:val="0015732D"/>
    <w:rsid w:val="001901D7"/>
    <w:rsid w:val="001A12E0"/>
    <w:rsid w:val="001A144C"/>
    <w:rsid w:val="001A49DE"/>
    <w:rsid w:val="001D439F"/>
    <w:rsid w:val="001E441A"/>
    <w:rsid w:val="001F0226"/>
    <w:rsid w:val="001F0351"/>
    <w:rsid w:val="001F3AA3"/>
    <w:rsid w:val="00203790"/>
    <w:rsid w:val="00204750"/>
    <w:rsid w:val="00204A02"/>
    <w:rsid w:val="00215176"/>
    <w:rsid w:val="0022158B"/>
    <w:rsid w:val="002322B0"/>
    <w:rsid w:val="0023312E"/>
    <w:rsid w:val="00240148"/>
    <w:rsid w:val="002425BC"/>
    <w:rsid w:val="00242E86"/>
    <w:rsid w:val="00250F37"/>
    <w:rsid w:val="00262F0D"/>
    <w:rsid w:val="00274D3A"/>
    <w:rsid w:val="00291FC3"/>
    <w:rsid w:val="00293825"/>
    <w:rsid w:val="002B5C21"/>
    <w:rsid w:val="002C5750"/>
    <w:rsid w:val="002D4C90"/>
    <w:rsid w:val="002E131F"/>
    <w:rsid w:val="00313BEB"/>
    <w:rsid w:val="003433AC"/>
    <w:rsid w:val="003468FA"/>
    <w:rsid w:val="00361D3B"/>
    <w:rsid w:val="00373E3D"/>
    <w:rsid w:val="00374324"/>
    <w:rsid w:val="0038402C"/>
    <w:rsid w:val="003B206C"/>
    <w:rsid w:val="003D7599"/>
    <w:rsid w:val="00431C5D"/>
    <w:rsid w:val="00434EBE"/>
    <w:rsid w:val="00461670"/>
    <w:rsid w:val="004735BD"/>
    <w:rsid w:val="0048309A"/>
    <w:rsid w:val="004A1C52"/>
    <w:rsid w:val="004A7D47"/>
    <w:rsid w:val="004B36DB"/>
    <w:rsid w:val="004F358E"/>
    <w:rsid w:val="0052518F"/>
    <w:rsid w:val="00530F2A"/>
    <w:rsid w:val="00536917"/>
    <w:rsid w:val="00546FB2"/>
    <w:rsid w:val="00565DEF"/>
    <w:rsid w:val="005675A2"/>
    <w:rsid w:val="00571D20"/>
    <w:rsid w:val="00582295"/>
    <w:rsid w:val="00593A05"/>
    <w:rsid w:val="005940AF"/>
    <w:rsid w:val="005B2226"/>
    <w:rsid w:val="005D3A8B"/>
    <w:rsid w:val="005D6787"/>
    <w:rsid w:val="005F2569"/>
    <w:rsid w:val="005F7DBD"/>
    <w:rsid w:val="0062311D"/>
    <w:rsid w:val="00623BD6"/>
    <w:rsid w:val="006336F4"/>
    <w:rsid w:val="006526E8"/>
    <w:rsid w:val="0066289B"/>
    <w:rsid w:val="0066742A"/>
    <w:rsid w:val="0067502E"/>
    <w:rsid w:val="0067584E"/>
    <w:rsid w:val="00675AA8"/>
    <w:rsid w:val="00680A06"/>
    <w:rsid w:val="0068594F"/>
    <w:rsid w:val="006902C0"/>
    <w:rsid w:val="006B71F9"/>
    <w:rsid w:val="006C24F2"/>
    <w:rsid w:val="006D1BAF"/>
    <w:rsid w:val="006E0089"/>
    <w:rsid w:val="006E0B6C"/>
    <w:rsid w:val="006E35FD"/>
    <w:rsid w:val="007118DB"/>
    <w:rsid w:val="00712F64"/>
    <w:rsid w:val="007459AB"/>
    <w:rsid w:val="007708F0"/>
    <w:rsid w:val="00783838"/>
    <w:rsid w:val="00784F63"/>
    <w:rsid w:val="00790C6A"/>
    <w:rsid w:val="007B7D59"/>
    <w:rsid w:val="007E3B03"/>
    <w:rsid w:val="007E73AD"/>
    <w:rsid w:val="008233C4"/>
    <w:rsid w:val="00831098"/>
    <w:rsid w:val="00834328"/>
    <w:rsid w:val="00835A12"/>
    <w:rsid w:val="0084393D"/>
    <w:rsid w:val="008740B0"/>
    <w:rsid w:val="008764D3"/>
    <w:rsid w:val="00891992"/>
    <w:rsid w:val="008D3ABE"/>
    <w:rsid w:val="008D651F"/>
    <w:rsid w:val="008D7ADC"/>
    <w:rsid w:val="008E530D"/>
    <w:rsid w:val="008F286C"/>
    <w:rsid w:val="00900E46"/>
    <w:rsid w:val="009015FC"/>
    <w:rsid w:val="00902351"/>
    <w:rsid w:val="009173A6"/>
    <w:rsid w:val="009461F7"/>
    <w:rsid w:val="0095764E"/>
    <w:rsid w:val="00963D7E"/>
    <w:rsid w:val="00964DE1"/>
    <w:rsid w:val="00977677"/>
    <w:rsid w:val="009804B2"/>
    <w:rsid w:val="009846A2"/>
    <w:rsid w:val="00994B5F"/>
    <w:rsid w:val="009A061F"/>
    <w:rsid w:val="009A5EB5"/>
    <w:rsid w:val="009C5B6B"/>
    <w:rsid w:val="00A15450"/>
    <w:rsid w:val="00A27BBC"/>
    <w:rsid w:val="00A32645"/>
    <w:rsid w:val="00A328FF"/>
    <w:rsid w:val="00A427D0"/>
    <w:rsid w:val="00A5471E"/>
    <w:rsid w:val="00A6114B"/>
    <w:rsid w:val="00A810F4"/>
    <w:rsid w:val="00AA765E"/>
    <w:rsid w:val="00AD25EA"/>
    <w:rsid w:val="00AD3872"/>
    <w:rsid w:val="00AD3EA5"/>
    <w:rsid w:val="00AD5706"/>
    <w:rsid w:val="00AE08C2"/>
    <w:rsid w:val="00AF24ED"/>
    <w:rsid w:val="00B06D62"/>
    <w:rsid w:val="00B1207D"/>
    <w:rsid w:val="00B1687F"/>
    <w:rsid w:val="00B16E53"/>
    <w:rsid w:val="00B24439"/>
    <w:rsid w:val="00B4002A"/>
    <w:rsid w:val="00B56E1C"/>
    <w:rsid w:val="00B934E7"/>
    <w:rsid w:val="00BA4FF5"/>
    <w:rsid w:val="00BB0E45"/>
    <w:rsid w:val="00BE0AF2"/>
    <w:rsid w:val="00C1479D"/>
    <w:rsid w:val="00C16308"/>
    <w:rsid w:val="00C20AD9"/>
    <w:rsid w:val="00C213B2"/>
    <w:rsid w:val="00C34089"/>
    <w:rsid w:val="00C70412"/>
    <w:rsid w:val="00C84AC8"/>
    <w:rsid w:val="00C9319A"/>
    <w:rsid w:val="00CA06ED"/>
    <w:rsid w:val="00CA6B02"/>
    <w:rsid w:val="00CA7BE3"/>
    <w:rsid w:val="00CB48FF"/>
    <w:rsid w:val="00CC19C6"/>
    <w:rsid w:val="00CC412A"/>
    <w:rsid w:val="00CF79F6"/>
    <w:rsid w:val="00D05828"/>
    <w:rsid w:val="00D269FE"/>
    <w:rsid w:val="00D413DF"/>
    <w:rsid w:val="00D46482"/>
    <w:rsid w:val="00D62AB7"/>
    <w:rsid w:val="00D76591"/>
    <w:rsid w:val="00D86528"/>
    <w:rsid w:val="00DA6972"/>
    <w:rsid w:val="00DC5086"/>
    <w:rsid w:val="00DF7AC3"/>
    <w:rsid w:val="00E34040"/>
    <w:rsid w:val="00E66281"/>
    <w:rsid w:val="00E74103"/>
    <w:rsid w:val="00E75854"/>
    <w:rsid w:val="00E93B8C"/>
    <w:rsid w:val="00EA7965"/>
    <w:rsid w:val="00EB0CFD"/>
    <w:rsid w:val="00EC6D67"/>
    <w:rsid w:val="00ED7B35"/>
    <w:rsid w:val="00EE10F9"/>
    <w:rsid w:val="00F14568"/>
    <w:rsid w:val="00F1751F"/>
    <w:rsid w:val="00F17B9C"/>
    <w:rsid w:val="00F214AB"/>
    <w:rsid w:val="00F63EED"/>
    <w:rsid w:val="00F8005A"/>
    <w:rsid w:val="00FB6A12"/>
    <w:rsid w:val="00FD297B"/>
    <w:rsid w:val="00FE1F63"/>
    <w:rsid w:val="00FF4F62"/>
    <w:rsid w:val="00FF54C9"/>
    <w:rsid w:val="00FF6381"/>
    <w:rsid w:val="00FF6942"/>
    <w:rsid w:val="07475495"/>
    <w:rsid w:val="09BB362A"/>
    <w:rsid w:val="0EBA5876"/>
    <w:rsid w:val="12B37EE2"/>
    <w:rsid w:val="1847724D"/>
    <w:rsid w:val="1AC676BC"/>
    <w:rsid w:val="1B080BB6"/>
    <w:rsid w:val="2DE93568"/>
    <w:rsid w:val="406543EF"/>
    <w:rsid w:val="4BB40A00"/>
    <w:rsid w:val="5C29045E"/>
    <w:rsid w:val="63022F87"/>
    <w:rsid w:val="78547F9C"/>
    <w:rsid w:val="7EAA4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等线" w:eastAsia="仿宋_GB2312" w:cs="Times New Roman"/>
      <w:kern w:val="2"/>
      <w:sz w:val="32"/>
      <w:szCs w:val="32"/>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0"/>
    <w:pPr>
      <w:keepNext/>
      <w:keepLines/>
      <w:spacing w:before="260" w:after="260" w:line="416" w:lineRule="auto"/>
      <w:outlineLvl w:val="1"/>
    </w:pPr>
    <w:rPr>
      <w:rFonts w:asciiTheme="majorHAnsi" w:hAnsiTheme="majorHAnsi" w:eastAsiaTheme="majorEastAsia" w:cstheme="majorBidi"/>
      <w:b/>
      <w:bCs/>
    </w:rPr>
  </w:style>
  <w:style w:type="paragraph" w:styleId="4">
    <w:name w:val="heading 3"/>
    <w:basedOn w:val="1"/>
    <w:next w:val="1"/>
    <w:link w:val="23"/>
    <w:unhideWhenUsed/>
    <w:qFormat/>
    <w:uiPriority w:val="0"/>
    <w:pPr>
      <w:keepNext/>
      <w:keepLines/>
      <w:spacing w:before="260" w:after="260" w:line="416" w:lineRule="auto"/>
      <w:outlineLvl w:val="2"/>
    </w:pPr>
    <w:rPr>
      <w:b/>
      <w:bCs/>
    </w:rPr>
  </w:style>
  <w:style w:type="paragraph" w:styleId="5">
    <w:name w:val="heading 4"/>
    <w:basedOn w:val="1"/>
    <w:next w:val="1"/>
    <w:link w:val="24"/>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5"/>
    <w:unhideWhenUsed/>
    <w:qFormat/>
    <w:uiPriority w:val="0"/>
    <w:pPr>
      <w:keepNext/>
      <w:keepLines/>
      <w:spacing w:before="280" w:after="290" w:line="376" w:lineRule="auto"/>
      <w:outlineLvl w:val="4"/>
    </w:pPr>
    <w:rPr>
      <w:b/>
      <w:bCs/>
      <w:sz w:val="28"/>
      <w:szCs w:val="28"/>
    </w:rPr>
  </w:style>
  <w:style w:type="paragraph" w:styleId="7">
    <w:name w:val="heading 6"/>
    <w:basedOn w:val="1"/>
    <w:next w:val="1"/>
    <w:link w:val="26"/>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7"/>
    <w:unhideWhenUsed/>
    <w:qFormat/>
    <w:uiPriority w:val="0"/>
    <w:pPr>
      <w:keepNext/>
      <w:keepLines/>
      <w:spacing w:before="240" w:after="64" w:line="320" w:lineRule="auto"/>
      <w:outlineLvl w:val="6"/>
    </w:pPr>
    <w:rPr>
      <w:b/>
      <w:bCs/>
      <w:sz w:val="24"/>
      <w:szCs w:val="24"/>
    </w:rPr>
  </w:style>
  <w:style w:type="paragraph" w:styleId="9">
    <w:name w:val="heading 8"/>
    <w:basedOn w:val="1"/>
    <w:next w:val="1"/>
    <w:link w:val="28"/>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29"/>
    <w:unhideWhenUsed/>
    <w:qFormat/>
    <w:uiPriority w:val="0"/>
    <w:pPr>
      <w:keepNext/>
      <w:keepLines/>
      <w:spacing w:before="240" w:after="64" w:line="320" w:lineRule="auto"/>
      <w:outlineLvl w:val="8"/>
    </w:pPr>
    <w:rPr>
      <w:rFonts w:asciiTheme="majorHAnsi" w:hAnsiTheme="majorHAnsi" w:eastAsiaTheme="majorEastAsia" w:cstheme="majorBidi"/>
      <w:sz w:val="21"/>
      <w:szCs w:val="21"/>
    </w:rPr>
  </w:style>
  <w:style w:type="character" w:default="1" w:styleId="17">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11">
    <w:name w:val="Balloon Text"/>
    <w:basedOn w:val="1"/>
    <w:link w:val="50"/>
    <w:unhideWhenUsed/>
    <w:qFormat/>
    <w:uiPriority w:val="99"/>
    <w:rPr>
      <w:sz w:val="18"/>
      <w:szCs w:val="18"/>
    </w:rPr>
  </w:style>
  <w:style w:type="paragraph" w:styleId="12">
    <w:name w:val="footer"/>
    <w:basedOn w:val="1"/>
    <w:link w:val="46"/>
    <w:unhideWhenUsed/>
    <w:qFormat/>
    <w:uiPriority w:val="99"/>
    <w:pPr>
      <w:tabs>
        <w:tab w:val="center" w:pos="4153"/>
        <w:tab w:val="right" w:pos="8306"/>
      </w:tabs>
      <w:snapToGrid w:val="0"/>
    </w:pPr>
    <w:rPr>
      <w:sz w:val="18"/>
      <w:szCs w:val="18"/>
    </w:rPr>
  </w:style>
  <w:style w:type="paragraph" w:styleId="13">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1"/>
    <w:qFormat/>
    <w:uiPriority w:val="0"/>
    <w:pPr>
      <w:spacing w:before="240" w:after="60" w:line="312" w:lineRule="auto"/>
      <w:jc w:val="center"/>
      <w:outlineLvl w:val="1"/>
    </w:pPr>
    <w:rPr>
      <w:rFonts w:eastAsia="宋体" w:asciiTheme="majorHAnsi" w:hAnsiTheme="majorHAnsi" w:cstheme="majorBidi"/>
      <w:b/>
      <w:bCs/>
      <w:kern w:val="28"/>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30"/>
    <w:qFormat/>
    <w:uiPriority w:val="0"/>
    <w:pPr>
      <w:spacing w:before="240" w:after="60"/>
      <w:jc w:val="center"/>
      <w:outlineLvl w:val="0"/>
    </w:pPr>
    <w:rPr>
      <w:rFonts w:eastAsia="宋体" w:asciiTheme="majorHAnsi" w:hAnsiTheme="majorHAnsi" w:cstheme="majorBidi"/>
      <w:b/>
      <w:bCs/>
    </w:rPr>
  </w:style>
  <w:style w:type="character" w:styleId="18">
    <w:name w:val="Strong"/>
    <w:qFormat/>
    <w:uiPriority w:val="0"/>
    <w:rPr>
      <w:b/>
      <w:bCs/>
    </w:rPr>
  </w:style>
  <w:style w:type="character" w:styleId="19">
    <w:name w:val="Emphasis"/>
    <w:qFormat/>
    <w:uiPriority w:val="0"/>
    <w:rPr>
      <w:i/>
      <w:iCs/>
    </w:rPr>
  </w:style>
  <w:style w:type="character" w:customStyle="1" w:styleId="21">
    <w:name w:val="标题 1 Char"/>
    <w:basedOn w:val="17"/>
    <w:link w:val="2"/>
    <w:qFormat/>
    <w:uiPriority w:val="0"/>
    <w:rPr>
      <w:rFonts w:ascii="仿宋_GB2312" w:hAnsi="等线" w:eastAsia="仿宋_GB2312"/>
      <w:b/>
      <w:bCs/>
      <w:kern w:val="44"/>
      <w:sz w:val="44"/>
      <w:szCs w:val="44"/>
    </w:rPr>
  </w:style>
  <w:style w:type="character" w:customStyle="1" w:styleId="22">
    <w:name w:val="标题 2 Char"/>
    <w:basedOn w:val="17"/>
    <w:link w:val="3"/>
    <w:semiHidden/>
    <w:qFormat/>
    <w:uiPriority w:val="0"/>
    <w:rPr>
      <w:rFonts w:asciiTheme="majorHAnsi" w:hAnsiTheme="majorHAnsi" w:eastAsiaTheme="majorEastAsia" w:cstheme="majorBidi"/>
      <w:b/>
      <w:bCs/>
      <w:kern w:val="2"/>
      <w:sz w:val="32"/>
      <w:szCs w:val="32"/>
    </w:rPr>
  </w:style>
  <w:style w:type="character" w:customStyle="1" w:styleId="23">
    <w:name w:val="标题 3 Char"/>
    <w:basedOn w:val="17"/>
    <w:link w:val="4"/>
    <w:semiHidden/>
    <w:qFormat/>
    <w:uiPriority w:val="0"/>
    <w:rPr>
      <w:rFonts w:ascii="仿宋_GB2312" w:hAnsi="等线" w:eastAsia="仿宋_GB2312"/>
      <w:b/>
      <w:bCs/>
      <w:kern w:val="2"/>
      <w:sz w:val="32"/>
      <w:szCs w:val="32"/>
    </w:rPr>
  </w:style>
  <w:style w:type="character" w:customStyle="1" w:styleId="24">
    <w:name w:val="标题 4 Char"/>
    <w:basedOn w:val="17"/>
    <w:link w:val="5"/>
    <w:semiHidden/>
    <w:qFormat/>
    <w:uiPriority w:val="0"/>
    <w:rPr>
      <w:rFonts w:asciiTheme="majorHAnsi" w:hAnsiTheme="majorHAnsi" w:eastAsiaTheme="majorEastAsia" w:cstheme="majorBidi"/>
      <w:b/>
      <w:bCs/>
      <w:kern w:val="2"/>
      <w:sz w:val="28"/>
      <w:szCs w:val="28"/>
    </w:rPr>
  </w:style>
  <w:style w:type="character" w:customStyle="1" w:styleId="25">
    <w:name w:val="标题 5 Char"/>
    <w:basedOn w:val="17"/>
    <w:link w:val="6"/>
    <w:semiHidden/>
    <w:qFormat/>
    <w:uiPriority w:val="0"/>
    <w:rPr>
      <w:rFonts w:ascii="仿宋_GB2312" w:hAnsi="等线" w:eastAsia="仿宋_GB2312"/>
      <w:b/>
      <w:bCs/>
      <w:kern w:val="2"/>
      <w:sz w:val="28"/>
      <w:szCs w:val="28"/>
    </w:rPr>
  </w:style>
  <w:style w:type="character" w:customStyle="1" w:styleId="26">
    <w:name w:val="标题 6 Char"/>
    <w:basedOn w:val="17"/>
    <w:link w:val="7"/>
    <w:semiHidden/>
    <w:qFormat/>
    <w:uiPriority w:val="0"/>
    <w:rPr>
      <w:rFonts w:asciiTheme="majorHAnsi" w:hAnsiTheme="majorHAnsi" w:eastAsiaTheme="majorEastAsia" w:cstheme="majorBidi"/>
      <w:b/>
      <w:bCs/>
      <w:kern w:val="2"/>
      <w:sz w:val="24"/>
      <w:szCs w:val="24"/>
    </w:rPr>
  </w:style>
  <w:style w:type="character" w:customStyle="1" w:styleId="27">
    <w:name w:val="标题 7 Char"/>
    <w:basedOn w:val="17"/>
    <w:link w:val="8"/>
    <w:semiHidden/>
    <w:qFormat/>
    <w:uiPriority w:val="0"/>
    <w:rPr>
      <w:rFonts w:ascii="仿宋_GB2312" w:hAnsi="等线" w:eastAsia="仿宋_GB2312"/>
      <w:b/>
      <w:bCs/>
      <w:kern w:val="2"/>
      <w:sz w:val="24"/>
      <w:szCs w:val="24"/>
    </w:rPr>
  </w:style>
  <w:style w:type="character" w:customStyle="1" w:styleId="28">
    <w:name w:val="标题 8 Char"/>
    <w:basedOn w:val="17"/>
    <w:link w:val="9"/>
    <w:semiHidden/>
    <w:qFormat/>
    <w:uiPriority w:val="0"/>
    <w:rPr>
      <w:rFonts w:asciiTheme="majorHAnsi" w:hAnsiTheme="majorHAnsi" w:eastAsiaTheme="majorEastAsia" w:cstheme="majorBidi"/>
      <w:kern w:val="2"/>
      <w:sz w:val="24"/>
      <w:szCs w:val="24"/>
    </w:rPr>
  </w:style>
  <w:style w:type="character" w:customStyle="1" w:styleId="29">
    <w:name w:val="标题 9 Char"/>
    <w:basedOn w:val="17"/>
    <w:link w:val="10"/>
    <w:semiHidden/>
    <w:qFormat/>
    <w:uiPriority w:val="0"/>
    <w:rPr>
      <w:rFonts w:asciiTheme="majorHAnsi" w:hAnsiTheme="majorHAnsi" w:eastAsiaTheme="majorEastAsia" w:cstheme="majorBidi"/>
      <w:kern w:val="2"/>
      <w:sz w:val="21"/>
      <w:szCs w:val="21"/>
    </w:rPr>
  </w:style>
  <w:style w:type="character" w:customStyle="1" w:styleId="30">
    <w:name w:val="标题 Char"/>
    <w:basedOn w:val="17"/>
    <w:link w:val="16"/>
    <w:qFormat/>
    <w:uiPriority w:val="0"/>
    <w:rPr>
      <w:rFonts w:asciiTheme="majorHAnsi" w:hAnsiTheme="majorHAnsi" w:cstheme="majorBidi"/>
      <w:b/>
      <w:bCs/>
      <w:kern w:val="2"/>
      <w:sz w:val="32"/>
      <w:szCs w:val="32"/>
    </w:rPr>
  </w:style>
  <w:style w:type="character" w:customStyle="1" w:styleId="31">
    <w:name w:val="副标题 Char"/>
    <w:basedOn w:val="17"/>
    <w:link w:val="14"/>
    <w:qFormat/>
    <w:uiPriority w:val="0"/>
    <w:rPr>
      <w:rFonts w:asciiTheme="majorHAnsi" w:hAnsiTheme="majorHAnsi" w:cstheme="majorBidi"/>
      <w:b/>
      <w:bCs/>
      <w:kern w:val="28"/>
      <w:sz w:val="32"/>
      <w:szCs w:val="32"/>
    </w:rPr>
  </w:style>
  <w:style w:type="paragraph" w:customStyle="1" w:styleId="32">
    <w:name w:val="No Spacing"/>
    <w:basedOn w:val="1"/>
    <w:link w:val="33"/>
    <w:qFormat/>
    <w:uiPriority w:val="1"/>
  </w:style>
  <w:style w:type="character" w:customStyle="1" w:styleId="33">
    <w:name w:val="无间隔 Char"/>
    <w:basedOn w:val="17"/>
    <w:link w:val="32"/>
    <w:qFormat/>
    <w:uiPriority w:val="1"/>
    <w:rPr>
      <w:rFonts w:ascii="仿宋_GB2312" w:hAnsi="等线" w:eastAsia="仿宋_GB2312"/>
      <w:kern w:val="2"/>
      <w:sz w:val="32"/>
      <w:szCs w:val="32"/>
    </w:rPr>
  </w:style>
  <w:style w:type="paragraph" w:customStyle="1" w:styleId="34">
    <w:name w:val="List Paragraph"/>
    <w:basedOn w:val="1"/>
    <w:qFormat/>
    <w:uiPriority w:val="34"/>
    <w:pPr>
      <w:ind w:firstLine="420" w:firstLineChars="200"/>
    </w:pPr>
  </w:style>
  <w:style w:type="paragraph" w:customStyle="1" w:styleId="35">
    <w:name w:val="Quote"/>
    <w:basedOn w:val="1"/>
    <w:next w:val="1"/>
    <w:link w:val="36"/>
    <w:qFormat/>
    <w:uiPriority w:val="29"/>
    <w:rPr>
      <w:i/>
      <w:iCs/>
      <w:color w:val="000000" w:themeColor="text1"/>
    </w:rPr>
  </w:style>
  <w:style w:type="character" w:customStyle="1" w:styleId="36">
    <w:name w:val="引用 Char"/>
    <w:basedOn w:val="17"/>
    <w:link w:val="35"/>
    <w:qFormat/>
    <w:uiPriority w:val="29"/>
    <w:rPr>
      <w:rFonts w:ascii="仿宋_GB2312" w:hAnsi="等线" w:eastAsia="仿宋_GB2312"/>
      <w:i/>
      <w:iCs/>
      <w:color w:val="000000" w:themeColor="text1"/>
      <w:kern w:val="2"/>
      <w:sz w:val="32"/>
      <w:szCs w:val="32"/>
    </w:rPr>
  </w:style>
  <w:style w:type="paragraph" w:customStyle="1" w:styleId="37">
    <w:name w:val="Intense Quote"/>
    <w:basedOn w:val="1"/>
    <w:next w:val="1"/>
    <w:link w:val="38"/>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38">
    <w:name w:val="明显引用 Char"/>
    <w:basedOn w:val="17"/>
    <w:link w:val="37"/>
    <w:qFormat/>
    <w:uiPriority w:val="30"/>
    <w:rPr>
      <w:rFonts w:ascii="仿宋_GB2312" w:hAnsi="等线" w:eastAsia="仿宋_GB2312"/>
      <w:b/>
      <w:bCs/>
      <w:i/>
      <w:iCs/>
      <w:color w:val="4F81BD" w:themeColor="accent1"/>
      <w:kern w:val="2"/>
      <w:sz w:val="32"/>
      <w:szCs w:val="32"/>
    </w:rPr>
  </w:style>
  <w:style w:type="character" w:customStyle="1" w:styleId="39">
    <w:name w:val="不明显强调1"/>
    <w:qFormat/>
    <w:uiPriority w:val="19"/>
    <w:rPr>
      <w:i/>
      <w:iCs/>
      <w:color w:val="7F7F7F" w:themeColor="text1" w:themeTint="7F"/>
    </w:rPr>
  </w:style>
  <w:style w:type="character" w:customStyle="1" w:styleId="40">
    <w:name w:val="明显强调1"/>
    <w:qFormat/>
    <w:uiPriority w:val="21"/>
    <w:rPr>
      <w:b/>
      <w:bCs/>
      <w:i/>
      <w:iCs/>
      <w:color w:val="4F81BD" w:themeColor="accent1"/>
    </w:rPr>
  </w:style>
  <w:style w:type="character" w:customStyle="1" w:styleId="41">
    <w:name w:val="不明显参考1"/>
    <w:basedOn w:val="17"/>
    <w:qFormat/>
    <w:uiPriority w:val="31"/>
    <w:rPr>
      <w:smallCaps/>
      <w:color w:val="C0504D" w:themeColor="accent2"/>
      <w:u w:val="single"/>
    </w:rPr>
  </w:style>
  <w:style w:type="character" w:customStyle="1" w:styleId="42">
    <w:name w:val="明显参考1"/>
    <w:qFormat/>
    <w:uiPriority w:val="32"/>
    <w:rPr>
      <w:b/>
      <w:bCs/>
      <w:smallCaps/>
      <w:color w:val="C0504D" w:themeColor="accent2"/>
      <w:spacing w:val="5"/>
      <w:u w:val="single"/>
    </w:rPr>
  </w:style>
  <w:style w:type="character" w:customStyle="1" w:styleId="43">
    <w:name w:val="书籍标题1"/>
    <w:basedOn w:val="17"/>
    <w:qFormat/>
    <w:uiPriority w:val="33"/>
    <w:rPr>
      <w:b/>
      <w:bCs/>
      <w:smallCaps/>
      <w:spacing w:val="5"/>
    </w:rPr>
  </w:style>
  <w:style w:type="paragraph" w:customStyle="1" w:styleId="44">
    <w:name w:val="TOC 标题1"/>
    <w:basedOn w:val="2"/>
    <w:next w:val="1"/>
    <w:unhideWhenUsed/>
    <w:qFormat/>
    <w:uiPriority w:val="39"/>
    <w:pPr>
      <w:outlineLvl w:val="9"/>
    </w:pPr>
  </w:style>
  <w:style w:type="character" w:customStyle="1" w:styleId="45">
    <w:name w:val="页眉 Char"/>
    <w:basedOn w:val="17"/>
    <w:link w:val="13"/>
    <w:semiHidden/>
    <w:qFormat/>
    <w:uiPriority w:val="99"/>
    <w:rPr>
      <w:sz w:val="18"/>
      <w:szCs w:val="18"/>
    </w:rPr>
  </w:style>
  <w:style w:type="character" w:customStyle="1" w:styleId="46">
    <w:name w:val="页脚 Char"/>
    <w:basedOn w:val="17"/>
    <w:link w:val="12"/>
    <w:qFormat/>
    <w:uiPriority w:val="99"/>
    <w:rPr>
      <w:sz w:val="18"/>
      <w:szCs w:val="18"/>
    </w:rPr>
  </w:style>
  <w:style w:type="character" w:customStyle="1" w:styleId="47">
    <w:name w:val="big"/>
    <w:basedOn w:val="17"/>
    <w:qFormat/>
    <w:uiPriority w:val="0"/>
  </w:style>
  <w:style w:type="character" w:customStyle="1" w:styleId="48">
    <w:name w:val="medium"/>
    <w:basedOn w:val="17"/>
    <w:qFormat/>
    <w:uiPriority w:val="0"/>
  </w:style>
  <w:style w:type="character" w:customStyle="1" w:styleId="49">
    <w:name w:val="small"/>
    <w:basedOn w:val="17"/>
    <w:qFormat/>
    <w:uiPriority w:val="0"/>
  </w:style>
  <w:style w:type="character" w:customStyle="1" w:styleId="50">
    <w:name w:val="批注框文本 Char"/>
    <w:basedOn w:val="17"/>
    <w:link w:val="11"/>
    <w:semiHidden/>
    <w:uiPriority w:val="99"/>
    <w:rPr>
      <w:rFonts w:ascii="仿宋_GB2312" w:hAnsi="等线"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ivy</Company>
  <Pages>7</Pages>
  <Words>475</Words>
  <Characters>2711</Characters>
  <Lines>22</Lines>
  <Paragraphs>6</Paragraphs>
  <ScaleCrop>false</ScaleCrop>
  <LinksUpToDate>false</LinksUpToDate>
  <CharactersWithSpaces>3180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2019-02-19T02:07:00Z</dcterms:created>
  <dc:creator>徐健楠</dc:creator>
  <cp:lastModifiedBy>高淑娟</cp:lastModifiedBy>
  <dcterms:modified xsi:type="dcterms:W3CDTF">2019-03-21T03:11:09Z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